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7"/>
          <w:szCs w:val="27"/>
        </w:rPr>
        <w:t xml:space="preserve"> </w:t>
      </w:r>
      <w:r>
        <w:rPr>
          <w:rFonts w:cs="Times New Roman" w:ascii="Times New Roman" w:hAnsi="Times New Roman"/>
          <w:color w:val="000000"/>
          <w:sz w:val="27"/>
          <w:szCs w:val="27"/>
        </w:rPr>
        <w:tab/>
        <w:tab/>
        <w:tab/>
        <w:tab/>
        <w:tab/>
        <w:tab/>
        <w:tab/>
        <w:tab/>
        <w:t>ПРИЛОЖЕНИЕ</w:t>
      </w:r>
      <w:r>
        <w:rPr>
          <w:rFonts w:cs="Times New Roman" w:ascii="Times New Roman" w:hAnsi="Times New Roman"/>
          <w:sz w:val="24"/>
          <w:szCs w:val="24"/>
        </w:rPr>
        <w:t xml:space="preserve">  </w:t>
        <w:tab/>
      </w:r>
      <w:r>
        <w:rPr>
          <w:rFonts w:cs="Times New Roman" w:ascii="Times New Roman" w:hAnsi="Times New Roman"/>
          <w:sz w:val="27"/>
          <w:szCs w:val="27"/>
        </w:rPr>
        <w:t>УТВЕРЖДЕНА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7"/>
          <w:szCs w:val="27"/>
        </w:rPr>
        <w:t>постановлением администрации города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7"/>
          <w:szCs w:val="27"/>
          <w:u w:val="single"/>
        </w:rPr>
      </w:pPr>
      <w:r>
        <w:rPr>
          <w:rFonts w:cs="Times New Roman" w:ascii="Times New Roman" w:hAnsi="Times New Roman"/>
          <w:sz w:val="27"/>
          <w:szCs w:val="27"/>
        </w:rPr>
        <w:t xml:space="preserve">                                                                     </w:t>
      </w:r>
      <w:r>
        <w:rPr>
          <w:rFonts w:cs="Times New Roman" w:ascii="Times New Roman" w:hAnsi="Times New Roman"/>
          <w:sz w:val="27"/>
          <w:szCs w:val="27"/>
        </w:rPr>
        <w:t xml:space="preserve">от « </w:t>
      </w:r>
      <w:r>
        <w:rPr>
          <w:rFonts w:cs="Times New Roman" w:ascii="Times New Roman" w:hAnsi="Times New Roman"/>
          <w:sz w:val="27"/>
          <w:szCs w:val="27"/>
          <w:u w:val="single"/>
        </w:rPr>
        <w:t xml:space="preserve">  24 </w:t>
      </w:r>
      <w:r>
        <w:rPr>
          <w:rFonts w:cs="Times New Roman" w:ascii="Times New Roman" w:hAnsi="Times New Roman"/>
          <w:sz w:val="27"/>
          <w:szCs w:val="27"/>
        </w:rPr>
        <w:t xml:space="preserve">» </w:t>
      </w:r>
      <w:r>
        <w:rPr>
          <w:rFonts w:cs="Times New Roman" w:ascii="Times New Roman" w:hAnsi="Times New Roman"/>
          <w:sz w:val="27"/>
          <w:szCs w:val="27"/>
          <w:u w:val="single"/>
        </w:rPr>
        <w:t xml:space="preserve">  марта </w:t>
      </w:r>
      <w:r>
        <w:rPr>
          <w:rFonts w:cs="Times New Roman" w:ascii="Times New Roman" w:hAnsi="Times New Roman"/>
          <w:sz w:val="27"/>
          <w:szCs w:val="27"/>
        </w:rPr>
        <w:t xml:space="preserve"> 2023 г. № </w:t>
      </w:r>
      <w:r>
        <w:rPr>
          <w:rFonts w:cs="Times New Roman" w:ascii="Times New Roman" w:hAnsi="Times New Roman"/>
          <w:sz w:val="27"/>
          <w:szCs w:val="27"/>
          <w:u w:val="single"/>
        </w:rPr>
        <w:t xml:space="preserve"> 19</w:t>
      </w:r>
      <w:bookmarkStart w:id="0" w:name="_GoBack"/>
      <w:bookmarkEnd w:id="0"/>
      <w:r>
        <w:rPr>
          <w:rFonts w:cs="Times New Roman" w:ascii="Times New Roman" w:hAnsi="Times New Roman"/>
          <w:sz w:val="27"/>
          <w:szCs w:val="27"/>
          <w:u w:val="single"/>
        </w:rPr>
        <w:t>5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7"/>
          <w:szCs w:val="27"/>
        </w:rPr>
      </w:pPr>
      <w:r>
        <w:rPr>
          <w:rFonts w:cs="Times New Roman" w:ascii="Times New Roman" w:hAnsi="Times New Roman"/>
          <w:sz w:val="27"/>
          <w:szCs w:val="27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cs="Times New Roman" w:ascii="Times New Roman" w:hAnsi="Times New Roman"/>
          <w:color w:val="FF0000"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cs="Times New Roman" w:ascii="Times New Roman" w:hAnsi="Times New Roman"/>
          <w:color w:val="FF0000"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>МУНИЦИПАЛЬНАЯ ПРОГРАММА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>города Кирсанова Тамбовской области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>«Обеспечение безопасности населения города Кирсанова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>Тамбовской области и противодействие преступности на 2015 - 2030 годы»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bCs/>
          <w:sz w:val="27"/>
          <w:szCs w:val="27"/>
        </w:rPr>
      </w:pPr>
      <w:r>
        <w:rPr>
          <w:rFonts w:cs="Times New Roman" w:ascii="Times New Roman" w:hAnsi="Times New Roman"/>
          <w:b/>
          <w:bCs/>
          <w:sz w:val="27"/>
          <w:szCs w:val="27"/>
        </w:rPr>
        <w:t>Паспорт программы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bCs/>
          <w:sz w:val="27"/>
          <w:szCs w:val="27"/>
        </w:rPr>
      </w:pPr>
      <w:r>
        <w:rPr>
          <w:rFonts w:cs="Times New Roman" w:ascii="Times New Roman" w:hAnsi="Times New Roman"/>
          <w:b/>
          <w:bCs/>
          <w:sz w:val="27"/>
          <w:szCs w:val="27"/>
        </w:rPr>
      </w:r>
    </w:p>
    <w:tbl>
      <w:tblPr>
        <w:tblW w:w="10007" w:type="dxa"/>
        <w:jc w:val="left"/>
        <w:tblInd w:w="-100" w:type="dxa"/>
        <w:tblLayout w:type="fixed"/>
        <w:tblCellMar>
          <w:top w:w="0" w:type="dxa"/>
          <w:left w:w="108" w:type="dxa"/>
          <w:bottom w:w="0" w:type="dxa"/>
          <w:right w:w="0" w:type="dxa"/>
        </w:tblCellMar>
        <w:tblLook w:firstRow="1" w:noVBand="0" w:lastRow="0" w:firstColumn="1" w:lastColumn="0" w:noHBand="0" w:val="00a0"/>
      </w:tblPr>
      <w:tblGrid>
        <w:gridCol w:w="2312"/>
        <w:gridCol w:w="7694"/>
      </w:tblGrid>
      <w:tr>
        <w:trPr/>
        <w:tc>
          <w:tcPr>
            <w:tcW w:w="2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b/>
                <w:b/>
                <w:bCs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b/>
                <w:bCs/>
                <w:sz w:val="26"/>
                <w:szCs w:val="26"/>
              </w:rPr>
              <w:t>Ответственный исполнитель программы (подпрограммы)</w:t>
            </w:r>
          </w:p>
        </w:tc>
        <w:tc>
          <w:tcPr>
            <w:tcW w:w="7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>Отдел гражданской обороны, чрезвычайных ситуаций и общественной безопасности администрация города Кирсанова</w:t>
            </w:r>
          </w:p>
        </w:tc>
      </w:tr>
      <w:tr>
        <w:trPr/>
        <w:tc>
          <w:tcPr>
            <w:tcW w:w="2312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b/>
                <w:bCs/>
                <w:sz w:val="26"/>
                <w:szCs w:val="26"/>
              </w:rPr>
              <w:t>Соисполнители программы (подпрограммы)</w:t>
            </w:r>
          </w:p>
        </w:tc>
        <w:tc>
          <w:tcPr>
            <w:tcW w:w="769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>Отдел образования администрации города;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>Отдел архитектуры, строительства и перспектив развития города администрации города;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>Отдел ЖКХ и благоустройства администрации города;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>Отдел по культуре и молодежной политике администрации города;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>Отдел по развитию физической культуры, спорту и туризму администрации города;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>Юридический отдел администрации города;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>МБУ «Телерадиокомпания «Кирсанов»;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>Редакция газеты «Кирсановская газета» (по согласованию);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>МОМВД России «Кирсановский» (по согласованию);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>УФСБ России по Тамбовской области (по согласованию);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>УФСИН России по Тамбовской области (по согласованию).</w:t>
            </w:r>
          </w:p>
        </w:tc>
      </w:tr>
      <w:tr>
        <w:trPr/>
        <w:tc>
          <w:tcPr>
            <w:tcW w:w="2312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b/>
                <w:bCs/>
                <w:sz w:val="26"/>
                <w:szCs w:val="26"/>
              </w:rPr>
              <w:t>Подпрограммы программы</w:t>
            </w:r>
          </w:p>
        </w:tc>
        <w:tc>
          <w:tcPr>
            <w:tcW w:w="769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>«Обеспечение общественного порядка и противодействие преступности в городе Кирсанове на 2015-2030 годы»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>«Противодействие терроризму и экстремизму в городе Кирсанове на 2015-2030 годы»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>«Повышение безопасности дорожного движения в городе Кирсанове на 2015-2030 годы»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>«Подготовка граждан к военной службе в городе Кирсанове на 2015-2030 годы»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color w:val="000000"/>
                <w:sz w:val="26"/>
                <w:szCs w:val="26"/>
              </w:rPr>
            </w:r>
          </w:p>
        </w:tc>
      </w:tr>
      <w:tr>
        <w:trPr/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b/>
                <w:bCs/>
                <w:sz w:val="26"/>
                <w:szCs w:val="26"/>
              </w:rPr>
              <w:t>Цель программы</w:t>
            </w:r>
          </w:p>
        </w:tc>
        <w:tc>
          <w:tcPr>
            <w:tcW w:w="769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right w:w="10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>Обеспечение безопасности населения города и противодействие преступности</w:t>
            </w:r>
          </w:p>
        </w:tc>
      </w:tr>
      <w:tr>
        <w:trPr/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b/>
                <w:bCs/>
                <w:sz w:val="26"/>
                <w:szCs w:val="26"/>
              </w:rPr>
              <w:t>Задачи программы</w:t>
            </w:r>
          </w:p>
        </w:tc>
        <w:tc>
          <w:tcPr>
            <w:tcW w:w="769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right w:w="10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>Совершенствование единой многоуровневой системы профилактики правонарушений, обеспечивающей защиту прав и свобод человека и гражданина, общественный порядок и безопасность, охрану собственности и повышение эффективности в борьбе с преступностью;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  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совершенствование системы управления деятельностью по повышению безопасности дорожного движения и развитие системы предупреждения опасного поведения участников дорожного движения;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   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повышение защиты населения, объектов первоочередной антитеррористической защиты и государственных институтов, расположенных на территории города, от террористической угрозы;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   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создание условий для обеспечения гарантированного комплектования Вооруженных Сил Российской Федерации физически, морально и психологически подготовленными призывниками, обладающими положительной мотивацией к прохождению военной службы, получившими подготовку по основам военной службы и военно-учетным специальностям.</w:t>
            </w:r>
          </w:p>
        </w:tc>
      </w:tr>
      <w:tr>
        <w:trPr/>
        <w:tc>
          <w:tcPr>
            <w:tcW w:w="2312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b/>
                <w:bCs/>
                <w:sz w:val="26"/>
                <w:szCs w:val="26"/>
              </w:rPr>
              <w:t>Целевые индикаторы и показатели программы, их значения на последний год реализации</w:t>
            </w:r>
          </w:p>
        </w:tc>
        <w:tc>
          <w:tcPr>
            <w:tcW w:w="769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>Зарегистрированные преступления (всего) – 243 случаев;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>Недопущение совершения террористических актов, снижение рисков совершения террористических актов - выполнено;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>Количество погибших и пострадавших в дорожно-транспортных происшествиях на дорогах города – 9 чел.;</w:t>
            </w:r>
          </w:p>
          <w:p>
            <w:pPr>
              <w:pStyle w:val="Normal"/>
              <w:widowControl w:val="false"/>
              <w:spacing w:lineRule="auto" w:line="240" w:before="0" w:after="119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>Выполнение плана призывы граждан на военную службу, установленную Министерством обороны Российской Федерации – 100%.</w:t>
            </w:r>
          </w:p>
        </w:tc>
      </w:tr>
      <w:tr>
        <w:trPr/>
        <w:tc>
          <w:tcPr>
            <w:tcW w:w="2312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Autospacing="1" w:after="119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b/>
                <w:bCs/>
                <w:sz w:val="26"/>
                <w:szCs w:val="26"/>
              </w:rPr>
              <w:t>Сроки и этапы реализации программы (подпрограммы)</w:t>
            </w:r>
          </w:p>
        </w:tc>
        <w:tc>
          <w:tcPr>
            <w:tcW w:w="769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</w:tcPr>
          <w:p>
            <w:pPr>
              <w:pStyle w:val="Normal"/>
              <w:widowControl w:val="false"/>
              <w:spacing w:lineRule="auto" w:line="240" w:beforeAutospacing="1" w:after="119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>Программа реализуется в течение 2015 - 2030 годов</w:t>
            </w:r>
          </w:p>
        </w:tc>
      </w:tr>
      <w:tr>
        <w:trPr/>
        <w:tc>
          <w:tcPr>
            <w:tcW w:w="2312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Autospacing="1" w:after="119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b/>
                <w:bCs/>
                <w:sz w:val="26"/>
                <w:szCs w:val="26"/>
              </w:rPr>
              <w:t>Объемы и источники финансирования программы (подпрограммы)</w:t>
            </w:r>
          </w:p>
        </w:tc>
        <w:tc>
          <w:tcPr>
            <w:tcW w:w="769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</w:tcPr>
          <w:p>
            <w:pPr>
              <w:pStyle w:val="NoSpacing"/>
              <w:widowControl w:val="false"/>
              <w:rPr>
                <w:szCs w:val="28"/>
              </w:rPr>
            </w:pPr>
            <w:r>
              <w:rPr>
                <w:szCs w:val="28"/>
              </w:rPr>
              <w:t>Общие затраты на реализацию муниципальной программы в 2015 – 2030 гг. за счет всех источников финансирования – 24525,35 тыс. рублей</w:t>
            </w:r>
          </w:p>
          <w:p>
            <w:pPr>
              <w:pStyle w:val="NoSpacing"/>
              <w:widowControl w:val="false"/>
              <w:rPr>
                <w:szCs w:val="28"/>
              </w:rPr>
            </w:pPr>
            <w:r>
              <w:rPr>
                <w:szCs w:val="28"/>
              </w:rPr>
              <w:t>- 2015 год — 980,85 тыс. рублей;</w:t>
            </w:r>
          </w:p>
          <w:p>
            <w:pPr>
              <w:pStyle w:val="NoSpacing"/>
              <w:widowControl w:val="false"/>
              <w:rPr>
                <w:szCs w:val="28"/>
              </w:rPr>
            </w:pPr>
            <w:r>
              <w:rPr>
                <w:szCs w:val="28"/>
              </w:rPr>
              <w:t>- 2016 год — 2350,0тыс. рублей;</w:t>
            </w:r>
          </w:p>
          <w:p>
            <w:pPr>
              <w:pStyle w:val="NoSpacing"/>
              <w:widowControl w:val="false"/>
              <w:rPr>
                <w:szCs w:val="28"/>
              </w:rPr>
            </w:pPr>
            <w:r>
              <w:rPr>
                <w:szCs w:val="28"/>
              </w:rPr>
              <w:t>- 2017 год — 1113,0 тыс. рублей;</w:t>
            </w:r>
          </w:p>
          <w:p>
            <w:pPr>
              <w:pStyle w:val="NoSpacing"/>
              <w:widowControl w:val="false"/>
              <w:rPr>
                <w:szCs w:val="28"/>
              </w:rPr>
            </w:pPr>
            <w:r>
              <w:rPr>
                <w:szCs w:val="28"/>
              </w:rPr>
              <w:t>- 2018 год — 988,1 тыс. рублей;</w:t>
            </w:r>
          </w:p>
          <w:p>
            <w:pPr>
              <w:pStyle w:val="NoSpacing"/>
              <w:widowControl w:val="false"/>
              <w:rPr>
                <w:szCs w:val="28"/>
              </w:rPr>
            </w:pPr>
            <w:r>
              <w:rPr>
                <w:szCs w:val="28"/>
              </w:rPr>
              <w:t>- 2019 год — 1336,9 тыс. рублей;</w:t>
            </w:r>
          </w:p>
          <w:p>
            <w:pPr>
              <w:pStyle w:val="NoSpacing"/>
              <w:widowControl w:val="false"/>
              <w:rPr>
                <w:szCs w:val="28"/>
              </w:rPr>
            </w:pPr>
            <w:r>
              <w:rPr>
                <w:szCs w:val="28"/>
              </w:rPr>
              <w:t>- 2020 год — 759,3 тыс. рублей;</w:t>
            </w:r>
          </w:p>
          <w:p>
            <w:pPr>
              <w:pStyle w:val="NoSpacing"/>
              <w:widowControl w:val="false"/>
              <w:rPr>
                <w:color w:val="000000"/>
                <w:szCs w:val="28"/>
              </w:rPr>
            </w:pPr>
            <w:r>
              <w:rPr>
                <w:szCs w:val="28"/>
              </w:rPr>
              <w:t xml:space="preserve">- 2021 год — </w:t>
            </w:r>
            <w:r>
              <w:rPr>
                <w:color w:val="000000"/>
                <w:szCs w:val="28"/>
              </w:rPr>
              <w:t>919,5 тыс. рублей;</w:t>
            </w:r>
          </w:p>
          <w:p>
            <w:pPr>
              <w:pStyle w:val="NoSpacing"/>
              <w:widowControl w:val="false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- 2022 год — 1478,5 тыс. рублей;</w:t>
            </w:r>
          </w:p>
          <w:p>
            <w:pPr>
              <w:pStyle w:val="NoSpacing"/>
              <w:widowControl w:val="false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- 2023 год — 1823,4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- 2024 год — 1825,4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- 2025 год — 1825,4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- 2026 год — 1825,0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- 2027 год — 1825,0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- 2028 год — 1825,0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- 2029 год — 1825,0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- 2030 год — 1825,0 тыс. рублей;</w:t>
            </w:r>
          </w:p>
          <w:p>
            <w:pPr>
              <w:pStyle w:val="Normal"/>
              <w:widowControl w:val="false"/>
              <w:spacing w:lineRule="auto" w:line="2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en-US"/>
              </w:rPr>
              <w:t>I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этап реализации 2015 – 2022 годы: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федеральный бюджет – 0 тыс. рублей: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бюджет области – 858,4 тыс. рублей: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бюджет города – 9067,85 тыс. рублей:</w:t>
            </w:r>
          </w:p>
          <w:p>
            <w:pPr>
              <w:pStyle w:val="NoSpacing"/>
              <w:widowControl w:val="false"/>
              <w:rPr>
                <w:szCs w:val="28"/>
              </w:rPr>
            </w:pPr>
            <w:r>
              <w:rPr>
                <w:szCs w:val="28"/>
              </w:rPr>
              <w:t>- 2015 год — 980,85 тыс. рублей;</w:t>
            </w:r>
          </w:p>
          <w:p>
            <w:pPr>
              <w:pStyle w:val="NoSpacing"/>
              <w:widowControl w:val="false"/>
              <w:rPr>
                <w:szCs w:val="28"/>
              </w:rPr>
            </w:pPr>
            <w:r>
              <w:rPr>
                <w:szCs w:val="28"/>
              </w:rPr>
              <w:t>- 2016 год — 2350,0тыс. рублей;</w:t>
            </w:r>
          </w:p>
          <w:p>
            <w:pPr>
              <w:pStyle w:val="NoSpacing"/>
              <w:widowControl w:val="false"/>
              <w:rPr>
                <w:szCs w:val="28"/>
              </w:rPr>
            </w:pPr>
            <w:r>
              <w:rPr>
                <w:szCs w:val="28"/>
              </w:rPr>
              <w:t>- 2017 год — 1113,0 тыс. рублей;</w:t>
            </w:r>
          </w:p>
          <w:p>
            <w:pPr>
              <w:pStyle w:val="NoSpacing"/>
              <w:widowControl w:val="false"/>
              <w:rPr>
                <w:szCs w:val="28"/>
              </w:rPr>
            </w:pPr>
            <w:r>
              <w:rPr>
                <w:szCs w:val="28"/>
              </w:rPr>
              <w:t>- 2018 год — 988,1 тыс. рублей;</w:t>
            </w:r>
          </w:p>
          <w:p>
            <w:pPr>
              <w:pStyle w:val="NoSpacing"/>
              <w:widowControl w:val="false"/>
              <w:rPr>
                <w:szCs w:val="28"/>
              </w:rPr>
            </w:pPr>
            <w:r>
              <w:rPr>
                <w:szCs w:val="28"/>
              </w:rPr>
              <w:t>- 2019 год — 1336,9 тыс. рублей;</w:t>
            </w:r>
          </w:p>
          <w:p>
            <w:pPr>
              <w:pStyle w:val="NoSpacing"/>
              <w:widowControl w:val="false"/>
              <w:rPr>
                <w:szCs w:val="28"/>
              </w:rPr>
            </w:pPr>
            <w:r>
              <w:rPr>
                <w:szCs w:val="28"/>
              </w:rPr>
              <w:t>- 2020 год — 759,3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- 2021 год — 919,5 тыс. рублей</w:t>
            </w:r>
          </w:p>
          <w:p>
            <w:pPr>
              <w:pStyle w:val="NoSpacing"/>
              <w:widowControl w:val="false"/>
              <w:rPr>
                <w:szCs w:val="28"/>
              </w:rPr>
            </w:pPr>
            <w:r>
              <w:rPr>
                <w:szCs w:val="28"/>
              </w:rPr>
              <w:t>- 2022 год — 1478,5 тыс. рублей;</w:t>
            </w:r>
          </w:p>
          <w:p>
            <w:pPr>
              <w:pStyle w:val="NoSpacing"/>
              <w:widowControl w:val="false"/>
              <w:rPr>
                <w:szCs w:val="28"/>
              </w:rPr>
            </w:pPr>
            <w:r>
              <w:rPr>
                <w:szCs w:val="28"/>
              </w:rPr>
            </w:r>
          </w:p>
          <w:p>
            <w:pPr>
              <w:pStyle w:val="Normal"/>
              <w:widowControl w:val="false"/>
              <w:spacing w:lineRule="auto" w:line="2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внебюджетные источники – 0 тыс. рублей: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en-US"/>
              </w:rPr>
              <w:t>II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этап реализации 2023 – 2030 годы: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федеральный бюджет – 1,2 тыс. рублей: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бюджет области – 2198,0  тыс. рублей: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бюджет города – 12400 тыс. рублей:</w:t>
            </w:r>
          </w:p>
          <w:p>
            <w:pPr>
              <w:pStyle w:val="NoSpacing"/>
              <w:widowControl w:val="false"/>
              <w:rPr>
                <w:szCs w:val="28"/>
              </w:rPr>
            </w:pPr>
            <w:r>
              <w:rPr>
                <w:szCs w:val="28"/>
              </w:rPr>
              <w:t>- 2023 год — 1823,4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- 2024 год — 1825,4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- 2025 год — 1825,4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- 2026 год — 1825,0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- 2027 год — 1825,0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- 2028 год — 1825,0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- 2029 год — 1825,0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- 2030 год — 1825,0 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widowControl w:val="false"/>
              <w:spacing w:lineRule="auto" w:line="2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внебюджетные источники – 0 тыс. рублей:</w:t>
            </w:r>
          </w:p>
          <w:p>
            <w:pPr>
              <w:pStyle w:val="NoSpacing"/>
              <w:widowControl w:val="false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</w:tr>
    </w:tbl>
    <w:p>
      <w:pPr>
        <w:pStyle w:val="ListParagraph"/>
        <w:spacing w:lineRule="auto" w:line="240" w:beforeAutospacing="1" w:after="0"/>
        <w:ind w:left="360" w:hanging="0"/>
        <w:jc w:val="center"/>
        <w:rPr>
          <w:rFonts w:ascii="Times New Roman" w:hAnsi="Times New Roman" w:cs="Times New Roman"/>
          <w:b/>
          <w:b/>
          <w:bCs/>
          <w:sz w:val="27"/>
          <w:szCs w:val="27"/>
        </w:rPr>
      </w:pPr>
      <w:r>
        <w:rPr>
          <w:rFonts w:cs="Times New Roman" w:ascii="Times New Roman" w:hAnsi="Times New Roman"/>
          <w:b/>
          <w:bCs/>
          <w:sz w:val="27"/>
          <w:szCs w:val="27"/>
        </w:rPr>
        <w:t>1. Общая характеристика сферы реализации программы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cs="Times New Roman" w:ascii="Times New Roman" w:hAnsi="Times New Roman"/>
          <w:sz w:val="27"/>
          <w:szCs w:val="27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7"/>
          <w:szCs w:val="27"/>
        </w:rPr>
        <w:tab/>
        <w:t>Безопасность населения (общественная безопасность) определяется как состояние защищенности жизненно важных интересов личности, общества и государства от общественно опасных деяний и негативного воздействия чрезвычайных обстоятельств, вызванных криминогенной ситуацией в городе Кирсанове, а также чрезвычайных ситуаций, вызванных стихийными бедствиями, катастрофами, авариями, пожарами, эпидемиями и иными чрезвычайными событиями.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7"/>
          <w:szCs w:val="27"/>
        </w:rPr>
        <w:tab/>
        <w:t>Цели и задачи обеспечения безопасности населения вытекают из характера потенциальных и имеющихся угроз, то есть условий и факторов, создающих реальную или потенциальную опасность жизни, здоровью, гражданским и политическим правам и свободам граждан, собственности, государственным и общественным институтам, функционирование которых обеспечивает нормальные условия жизнедеятельности граждан, общества и государства.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cs="Times New Roman" w:ascii="Times New Roman" w:hAnsi="Times New Roman"/>
          <w:sz w:val="27"/>
          <w:szCs w:val="27"/>
        </w:rPr>
        <w:tab/>
        <w:t>Основными факторами, представляющими угрозы общественной безопасности в городе является то, что через территорию города Кирсанова проходят автомагистрали Тамбов-Саратов, железная дорога Махачкала - Астрахань - Волгоград - Саратов -Тамбов - Мичуринск по которым следует автотранспорт и пассажиропоток с южного направления, реально обуславливающий потенциальную опасность перемещения террористических группировок, транзита оружия.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7"/>
          <w:szCs w:val="27"/>
        </w:rPr>
        <w:tab/>
        <w:t>Также угрозу составляют: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7"/>
          <w:szCs w:val="27"/>
        </w:rPr>
        <w:tab/>
        <w:t>износ средств производства, технологического оборудования, транспортных средств, снижение уровня контроля за состоянием систем безопасности, хищение цветных металлов (линии электропередач, связи, разукомплектование ценного оборудования, навигационных приборов и др.), что в конечном итоге приводит к росту числа аварий, катастроф и дорожно-транспортных происшествий;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7"/>
          <w:szCs w:val="27"/>
        </w:rPr>
        <w:tab/>
        <w:t>разрушение привычных для России стереотипов поведения, норм морали и нравственности, возросшее безразличие общества к антиобщественным явлениям (пьянство, наркомания, хулиганство и другие).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7"/>
          <w:szCs w:val="27"/>
        </w:rPr>
        <w:tab/>
        <w:t>Криминальную напряженность усиливает незаконная миграция. До настоящего времени имеет место нарушение режима пребывания на территории города граждан, в том числе из северокавказского региона.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7"/>
          <w:szCs w:val="27"/>
        </w:rPr>
        <w:tab/>
        <w:t>Безопасность достигается проведением единой государственной политики в области обеспечения безопасности, системой мер экономического, политического, организационного и иного характера, адекватных угрозам жизненно важным интересам личности, общества и государства.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7"/>
          <w:szCs w:val="27"/>
        </w:rPr>
        <w:tab/>
        <w:t>Совместная работа органов государственной власти города, администрации города и общественных институтов позволила сохранить контроль за криминогенной ситуацией в городе и обеспечить безопасность граждан на должном уровне.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7"/>
          <w:szCs w:val="27"/>
        </w:rPr>
        <w:tab/>
        <w:t>По итогам 9 месяцев 2014 года общее количество зарегистрированных преступлений в городе сократилось на 10,7% (с 272 до 183случаев).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7"/>
          <w:szCs w:val="27"/>
        </w:rPr>
        <w:tab/>
        <w:t>Снизилось количество преступлений, совершенных несовершеннолетними или при их участии – 50% (с 8 до 4 случаев).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7"/>
          <w:szCs w:val="27"/>
        </w:rPr>
        <w:tab/>
        <w:t>На протяжении 9 месяцев 2014 года прослеживалась тенденция по снижению преступлений, совершенных ранее судимыми лицами с 78 до 65, снижение составило 16,7%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7"/>
          <w:szCs w:val="27"/>
        </w:rPr>
        <w:tab/>
        <w:t>Принимаемыми профилактическими мерами, в том числе и административного характера, удалось стабилизировать ситуацию по преступности в общественных местах и на улице. Количество зарегистрированных преступлений за 9 месяцев 2014 года в общественных местах снизилось на 35,6% (с 87 до 56 случаев), в том числе на улице на 15,4% (с 39 до 33).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7"/>
          <w:szCs w:val="27"/>
        </w:rPr>
        <w:tab/>
        <w:t>Также можно отметить, что складывающаяся обстановка в сфере противодействия терроризму продолжает оставаться напряженной. В условиях осуществления государственной политики по стабилизации обстановки на Северном Кавказе лидеры незаконных вооруженных формирований - организаторы террористической деятельности в связи с лишением их возможности проведения террористических актов и иных противоправных деяний силами крупных вооруженных формирований переходят к практике нанесения точечных ударов по различным объектам в других регионах России, прежде всего с массовым пребыванием населения.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7"/>
          <w:szCs w:val="27"/>
        </w:rPr>
        <w:tab/>
        <w:t>Представители террористических организаций, сформированных и финансируемых как на территории России, так и за ее пределами, не оставляют попыток планирования и совершения террористических актов.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7"/>
          <w:szCs w:val="27"/>
        </w:rPr>
        <w:tab/>
        <w:t>Правоохранительными органами, расположенными на территории города, в течение 9 месяцев 2014 года проделана серьезная работа по борьбе с террористической угрозой, накоплен достаточный опыт работы в новых социально-экономических условиях. Однако угроза совершения террористических актов остается.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7"/>
          <w:szCs w:val="27"/>
        </w:rPr>
        <w:tab/>
        <w:t>Все это требует принятия дополнительных превентивных мер, направленных на противодействие терроризму, прежде всего связанных с технической укрепленностью жизненно важных объектов и мест массового пребывания населения, обучением людей действиям в условиях чрезвычайного характера.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cs="Times New Roman" w:ascii="Times New Roman" w:hAnsi="Times New Roman"/>
          <w:sz w:val="27"/>
          <w:szCs w:val="27"/>
        </w:rPr>
        <w:tab/>
        <w:t>Безопасность дорожного движения является одной из важных социально-экономических и демографических задач Российской Федерации. Аварийность на автомобильном транспорте наносит огромный материальный и моральный ущерб как обществу в целом, так и отдельным гражданам. Дорожно-транспортный травматизм приводит к исключению из сферы производства людей в основном трудоспособного возраста. Гибнут и становятся инвалидами дети.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cs="Times New Roman" w:ascii="Times New Roman" w:hAnsi="Times New Roman"/>
          <w:sz w:val="27"/>
          <w:szCs w:val="27"/>
        </w:rPr>
        <w:tab/>
        <w:t>Ежегодно в Российской Федерации в результате дорожно-транспортных происшествий погибают и получают ранения люди. На дорогах Тамбовской области за последние 7 лет погибли и получили ранения 1560 детей в возрасте до 16 лет. Демографический ущерб от дорожно-транспортных происшествий и их последствий за 2004-2010 годы составил суммарно 19584 человека, что сопоставимо с общей численностью населения в большинстве муниципальных районов области.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cs="Times New Roman" w:ascii="Times New Roman" w:hAnsi="Times New Roman"/>
          <w:sz w:val="27"/>
          <w:szCs w:val="27"/>
        </w:rPr>
        <w:tab/>
        <w:t>На дорогах города в течение 9 месяцев 2014 году зарегистрировано 16 дорожно-транспортных происшествий. Получили ранения различной степени тяжести 22 человека.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cs="Times New Roman" w:ascii="Times New Roman" w:hAnsi="Times New Roman"/>
          <w:sz w:val="27"/>
          <w:szCs w:val="27"/>
        </w:rPr>
        <w:tab/>
        <w:t>Обеспечение безопасности дорожного движения является составной частью национальных задач обеспечения личной безопасности, решения демографических, социальных и экономических проблем, повышения качества жизни, содействия региональному развитию.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cs="Times New Roman" w:ascii="Times New Roman" w:hAnsi="Times New Roman"/>
          <w:sz w:val="27"/>
          <w:szCs w:val="27"/>
        </w:rPr>
        <w:tab/>
        <w:t>Сложившаяся в настоящее время ситуация в сфере подготовки граждан к военной службе характеризуется рядом негативных факторов. К основным из них можно отнести: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cs="Times New Roman" w:ascii="Times New Roman" w:hAnsi="Times New Roman"/>
          <w:sz w:val="27"/>
          <w:szCs w:val="27"/>
        </w:rPr>
        <w:tab/>
        <w:t>снижение показателей состояния здоровья и физического развития большей части граждан, подлежащих призыву на военную службу;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cs="Times New Roman" w:ascii="Times New Roman" w:hAnsi="Times New Roman"/>
          <w:sz w:val="27"/>
          <w:szCs w:val="27"/>
        </w:rPr>
        <w:tab/>
        <w:t>отсутствие федеральной системы подготовки граждан к военной службе, охватывающей все категории граждан, начиная с дошкольного возраста;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cs="Times New Roman" w:ascii="Times New Roman" w:hAnsi="Times New Roman"/>
          <w:sz w:val="27"/>
          <w:szCs w:val="27"/>
        </w:rPr>
        <w:tab/>
        <w:t>недостаточные объемы физической нагрузки на занятиях по физическому воспитанию в образовательных учреждениях;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cs="Times New Roman" w:ascii="Times New Roman" w:hAnsi="Times New Roman"/>
          <w:sz w:val="27"/>
          <w:szCs w:val="27"/>
        </w:rPr>
        <w:tab/>
        <w:t>отсутствие преемственности программ физического воспитания в учреждениях образования различных типов и видов;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cs="Times New Roman" w:ascii="Times New Roman" w:hAnsi="Times New Roman"/>
          <w:sz w:val="27"/>
          <w:szCs w:val="27"/>
        </w:rPr>
        <w:tab/>
        <w:t>недостаточное развитие военно-прикладных видов спорта.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cs="Times New Roman" w:ascii="Times New Roman" w:hAnsi="Times New Roman"/>
          <w:sz w:val="27"/>
          <w:szCs w:val="27"/>
        </w:rPr>
        <w:tab/>
        <w:t>Работа администрации города по преодолению названных проблем является составной частью обеспечения безопасности государства.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cs="Times New Roman" w:ascii="Times New Roman" w:hAnsi="Times New Roman"/>
          <w:sz w:val="27"/>
          <w:szCs w:val="27"/>
        </w:rPr>
        <w:tab/>
        <w:t>Для создания и поддержания необходимого уровня защищенности объектов безопасности в городе и разрабатывается муниципальная программа с подпрограммами, мероприятия которых регулируют отношения в сфере безопасности, определяют основные направления деятельности администрации города в данной области, формируют или преобразуют механизм контроля.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7"/>
          <w:szCs w:val="27"/>
        </w:rPr>
        <w:tab/>
        <w:t>При выполнении муниципальной программы возможны риски её выполнения, связанные с уровнем социально-экономического развития города, криминогенной обстановкой в городе, а также геополитической обстановкой в стране. Имеются риски выполнения программы связанные с возможным возникновением чрезвычайных ситуаций природного и техногенного характера.</w:t>
      </w:r>
    </w:p>
    <w:p>
      <w:pPr>
        <w:pStyle w:val="Normal"/>
        <w:spacing w:lineRule="auto" w:line="240" w:beforeAutospacing="1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7"/>
          <w:szCs w:val="27"/>
        </w:rPr>
        <w:t>2. Приоритеты региональной государственной политики и социально-экономического развития города в сфере реализации муниципальной программы, цели, задачи, сроки и этапы реализации программы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cs="Times New Roman" w:ascii="Times New Roman" w:hAnsi="Times New Roman"/>
          <w:sz w:val="27"/>
          <w:szCs w:val="27"/>
        </w:rPr>
      </w:r>
    </w:p>
    <w:p>
      <w:pPr>
        <w:pStyle w:val="NoSpacing"/>
        <w:ind w:firstLine="708"/>
        <w:jc w:val="both"/>
        <w:rPr/>
      </w:pPr>
      <w:r>
        <w:rPr/>
        <w:t>Приоритеты реализуемой в области государственной политики в сфере безопасности определяются в Стратегии социально-экономического развития городского округа – г.Кирсанов Тамбовской области до 2030 года, Программе социально-экономического развития города Кирсанова на 2014-2020 годы (утратило силу решением Кирсановского городского Совета народных депутатов от 21.12.2017г. №319)  и соответствуют Стратегии социально – экономического развития Тамбовской области на период до 2035  года,  утвержденной  Законом  Тамбовской  области  от  04.06.2018    № 246-З.</w:t>
      </w:r>
    </w:p>
    <w:p>
      <w:pPr>
        <w:pStyle w:val="NoSpacing"/>
        <w:ind w:firstLine="708"/>
        <w:jc w:val="both"/>
        <w:rPr/>
      </w:pPr>
      <w:r>
        <w:rPr/>
        <w:t>Стратегическими документами социально-экономического развития города Кирсанова определены цели экономического и социального развития города, среди которых — это совершенствование единой многоуровневой системы профилактики, обеспечивающей защиту прав и свобод человека и гражданина, общественный порядок и безопасность, охрану собственности и повышение эффективности в борьбе с преступностью, использование системного подхода к определению взаимодополняющих друг друга приоритетных задач по обеспечению безопасности дорожного движения.</w:t>
      </w:r>
    </w:p>
    <w:p>
      <w:pPr>
        <w:pStyle w:val="NoSpacing"/>
        <w:jc w:val="both"/>
        <w:rPr>
          <w:sz w:val="24"/>
          <w:szCs w:val="24"/>
        </w:rPr>
      </w:pPr>
      <w:r>
        <w:rPr/>
        <w:tab/>
        <w:t>В связи с чем, требует дальнейшего решения</w:t>
      </w:r>
      <w:r>
        <w:rPr>
          <w:color w:val="000000"/>
        </w:rPr>
        <w:t xml:space="preserve"> наиболее важные вопросы, направленные на создание благоприятных условий проживания населения, снижение риска гибели, обусловленных риском совершения террористического акта, дорожно-транспортного происшествия, чрезвычайных ситуаций.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7"/>
          <w:szCs w:val="27"/>
        </w:rPr>
        <w:tab/>
        <w:t xml:space="preserve">Эффективное продолжение решения существующих проблем возможно только в условиях пролонгации применения в качестве основы управления в сфере безопасности программно-целевого метода посредством принятия и последующей реализации муниципальной программы на 2015-2024 годы, поскольку это </w:t>
      </w:r>
      <w:r>
        <w:rPr>
          <w:rFonts w:cs="Times New Roman" w:ascii="Times New Roman" w:hAnsi="Times New Roman"/>
          <w:color w:val="000000"/>
          <w:sz w:val="27"/>
          <w:szCs w:val="27"/>
        </w:rPr>
        <w:t>обеспечит комплексный подход к созданию благоприятных условий для проживания населения на территории города.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7"/>
          <w:szCs w:val="27"/>
        </w:rPr>
        <w:tab/>
        <w:t>Исходя из целей государственной политики и в соответствии с основными приоритетами, была сформулирована цель муниципальной программы – обеспечение безопасности населения города и противодействие преступности.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7"/>
          <w:szCs w:val="27"/>
        </w:rPr>
        <w:tab/>
        <w:t>Достижение цели программы обеспечивается путем решения следующих задач: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7"/>
          <w:szCs w:val="27"/>
        </w:rPr>
        <w:tab/>
        <w:t>совершенствование единой многоуровневой системы профилактики правонарушений, обеспечивающей защиту прав и свобод человека и гражданина, общественный порядок и безопасность, охрану собственности и повышение эффективности в борьбе с преступностью;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7"/>
          <w:szCs w:val="27"/>
        </w:rPr>
        <w:tab/>
        <w:t>совершенствование системы управления деятельностью по повышению безопасности дорожного движения и развитие системы предупреждения опасного поведения участников дорожного движения;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7"/>
          <w:szCs w:val="27"/>
        </w:rPr>
        <w:tab/>
        <w:t>повышение защиты населения, объектов первоочередной антитеррористической защиты и объектов с массовым пребыванием людей, расположенных на территории города, от террористической угрозы;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7"/>
          <w:szCs w:val="27"/>
        </w:rPr>
        <w:tab/>
        <w:t>создание условий для обеспечения гарантированного комплектования Вооруженных Сил Российской Федерации физически, морально и психологически подготовленными призывниками, обладающими положительной мотивацией к прохождению военной службы, получившими подготовку по основам военной службы и военно-учетным специальностям.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cs="Times New Roman" w:ascii="Times New Roman" w:hAnsi="Times New Roman"/>
          <w:sz w:val="27"/>
          <w:szCs w:val="27"/>
        </w:rPr>
        <w:t>Реализация мероприятий Программы будет осуществляться в период с 2015 по 2030 год включительно.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left="1440" w:hanging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7"/>
          <w:szCs w:val="27"/>
        </w:rPr>
        <w:t>3. Показатели (индикаторы) достижения цели и решения задач, основные ожидаемые конечные результаты программы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7"/>
          <w:szCs w:val="27"/>
        </w:rPr>
        <w:t>Система целевых индикаторов и показателей программы сформирована с учетом обеспечения возможности проверки и подтверждения достижения цели и решения задач Программы.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7"/>
          <w:szCs w:val="27"/>
        </w:rPr>
        <w:t>При формировании системы целевых индикаторов учтены требования к характеристике каждого показателя (адекватность, точность, объективность, достоверность, однозначность, экономичность, сопоставимость, своевременность и регулярность).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7"/>
          <w:szCs w:val="27"/>
        </w:rPr>
        <w:t>Состав целевых индикаторов и показателей программы увязан с их задачами, основными мероприятиями, что позволяет оценить ожидаемые конечные результаты, эффективность Программы на весь период ее реализации и структурирован с учетом минимизации количества.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7"/>
          <w:szCs w:val="27"/>
        </w:rPr>
        <w:t>Показатели программы характеризуют конечные общественно значимые результаты развития в сфере безопасности.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7"/>
          <w:szCs w:val="27"/>
        </w:rPr>
        <w:tab/>
        <w:t>Показателями (индикаторами) реализации программы являются: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7"/>
          <w:szCs w:val="27"/>
        </w:rPr>
        <w:tab/>
        <w:t>зарегистрированные преступления;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7"/>
          <w:szCs w:val="27"/>
        </w:rPr>
        <w:tab/>
        <w:t>недопущение совершения террористических актов, снижение рисков совершения террористических актов;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cs="Times New Roman" w:ascii="Times New Roman" w:hAnsi="Times New Roman"/>
          <w:sz w:val="27"/>
          <w:szCs w:val="27"/>
        </w:rPr>
        <w:tab/>
        <w:t>количество погибших и пострадавших в дорожно-транспортных происшествиях на дорогах города;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7"/>
          <w:szCs w:val="27"/>
        </w:rPr>
        <w:tab/>
        <w:t>выполнение плана призыва граждан на военную службу, установленную Министерством обороны Российской Федерации;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bCs/>
          <w:sz w:val="27"/>
          <w:szCs w:val="27"/>
        </w:rPr>
      </w:pPr>
      <w:r>
        <w:rPr>
          <w:rFonts w:cs="Times New Roman" w:ascii="Times New Roman" w:hAnsi="Times New Roman"/>
          <w:b/>
          <w:bCs/>
          <w:sz w:val="27"/>
          <w:szCs w:val="27"/>
        </w:rPr>
        <w:tab/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7"/>
          <w:szCs w:val="27"/>
        </w:rPr>
        <w:t>Индикаторы реализации подпрограммы «Обеспечение общественного порядка и противодействие преступности в городе Кирсанове»: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7"/>
          <w:szCs w:val="27"/>
        </w:rPr>
        <w:tab/>
        <w:t>преступления, совершенные несовершеннолетними или при их соучастии;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7"/>
          <w:szCs w:val="27"/>
        </w:rPr>
        <w:tab/>
        <w:t>преступления, совершенные лицами, ранее их совершавшими;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7"/>
          <w:szCs w:val="27"/>
        </w:rPr>
        <w:tab/>
        <w:t>объекты, оборудованные системами видеонаблюдения.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bCs/>
          <w:sz w:val="27"/>
          <w:szCs w:val="27"/>
        </w:rPr>
      </w:pPr>
      <w:r>
        <w:rPr>
          <w:rFonts w:cs="Times New Roman" w:ascii="Times New Roman" w:hAnsi="Times New Roman"/>
          <w:b/>
          <w:bCs/>
          <w:sz w:val="27"/>
          <w:szCs w:val="27"/>
        </w:rPr>
        <w:tab/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bCs/>
          <w:sz w:val="27"/>
          <w:szCs w:val="27"/>
        </w:rPr>
      </w:pPr>
      <w:r>
        <w:rPr>
          <w:rFonts w:cs="Times New Roman" w:ascii="Times New Roman" w:hAnsi="Times New Roman"/>
          <w:b/>
          <w:bCs/>
          <w:sz w:val="27"/>
          <w:szCs w:val="27"/>
        </w:rPr>
        <w:t xml:space="preserve">Индикаторы реализации подпрограммы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7"/>
          <w:szCs w:val="27"/>
        </w:rPr>
        <w:t>«Противодействие терроризму и экстремизму в городе Кирсанове»: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7"/>
          <w:szCs w:val="27"/>
        </w:rPr>
        <w:tab/>
        <w:t>количество муниципальных учреждений, оборудованных системой видеонаблюдения;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7"/>
          <w:szCs w:val="27"/>
        </w:rPr>
        <w:tab/>
        <w:t>недопущение террористических акций на территории города.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bCs/>
          <w:sz w:val="27"/>
          <w:szCs w:val="27"/>
        </w:rPr>
      </w:pPr>
      <w:r>
        <w:rPr>
          <w:rFonts w:cs="Times New Roman" w:ascii="Times New Roman" w:hAnsi="Times New Roman"/>
          <w:b/>
          <w:bCs/>
          <w:sz w:val="27"/>
          <w:szCs w:val="27"/>
        </w:rPr>
        <w:tab/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bCs/>
          <w:sz w:val="27"/>
          <w:szCs w:val="27"/>
        </w:rPr>
      </w:pPr>
      <w:r>
        <w:rPr>
          <w:rFonts w:cs="Times New Roman" w:ascii="Times New Roman" w:hAnsi="Times New Roman"/>
          <w:b/>
          <w:bCs/>
          <w:sz w:val="27"/>
          <w:szCs w:val="27"/>
        </w:rPr>
        <w:t xml:space="preserve">Индикаторы реализации подпрограммы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7"/>
          <w:szCs w:val="27"/>
        </w:rPr>
        <w:t>«Повышение безопасности дорожного движения в городе Кирсанове»: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7"/>
          <w:szCs w:val="27"/>
        </w:rPr>
        <w:tab/>
        <w:t>транспортный и социальный риск;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7"/>
          <w:szCs w:val="27"/>
        </w:rPr>
        <w:tab/>
        <w:t>количество мест концентрации дорожно-транспортных происшествий на дорогах города;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cs="Times New Roman" w:ascii="Times New Roman" w:hAnsi="Times New Roman"/>
          <w:sz w:val="27"/>
          <w:szCs w:val="27"/>
        </w:rPr>
        <w:tab/>
        <w:t>количество образовательных учреждений, принявших участие в конкурсах.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firstLine="760"/>
        <w:jc w:val="center"/>
        <w:rPr>
          <w:rFonts w:ascii="Times New Roman" w:hAnsi="Times New Roman" w:cs="Times New Roman"/>
          <w:b/>
          <w:b/>
          <w:bCs/>
          <w:color w:val="000000"/>
          <w:sz w:val="27"/>
          <w:szCs w:val="27"/>
        </w:rPr>
      </w:pPr>
      <w:r>
        <w:rPr>
          <w:rFonts w:cs="Times New Roman" w:ascii="Times New Roman" w:hAnsi="Times New Roman"/>
          <w:b/>
          <w:bCs/>
          <w:color w:val="000000"/>
          <w:sz w:val="27"/>
          <w:szCs w:val="27"/>
        </w:rPr>
        <w:t xml:space="preserve">Индикаторы реализации подпрограммы </w:t>
      </w:r>
    </w:p>
    <w:p>
      <w:pPr>
        <w:pStyle w:val="Normal"/>
        <w:spacing w:lineRule="auto" w:line="240" w:before="0" w:after="0"/>
        <w:ind w:firstLine="76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bCs/>
          <w:color w:val="000000"/>
          <w:sz w:val="27"/>
          <w:szCs w:val="27"/>
        </w:rPr>
        <w:t>«Подготовка граждан к военной службе в городе Кирсанове»: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7"/>
          <w:szCs w:val="27"/>
        </w:rPr>
        <w:tab/>
        <w:t>доля граждан, по состоянию подлежащих призыву на военную службу, соответствующих по состоянию здоровья требованиям военной службы - 90%;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7"/>
          <w:szCs w:val="27"/>
        </w:rPr>
        <w:tab/>
        <w:t>доля граждан допризывного возраста, имеющих спортивные разряды;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7"/>
          <w:szCs w:val="27"/>
        </w:rPr>
        <w:tab/>
        <w:t>доля граждан допризывного возраста, обладающих положительной мотивацией к прохождению военной службы;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7"/>
          <w:szCs w:val="27"/>
        </w:rPr>
        <w:tab/>
        <w:t>доля учащихся 10 классов общеобразовательных учреждений, учащихся учреждений начального профессионального образования, среднего профессионального образования, прошедших программу учебных сборов в полном объеме.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7"/>
          <w:szCs w:val="27"/>
        </w:rPr>
        <w:tab/>
        <w:t>Программа оценивается по результатам ее реализации в экономической и социальной сфере.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7"/>
          <w:szCs w:val="27"/>
        </w:rPr>
        <w:tab/>
        <w:t>Реализация программы позволит достичь к 2024 году следующих результатов: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7"/>
          <w:szCs w:val="27"/>
        </w:rPr>
        <w:tab/>
        <w:t>зарегистрированные преступления (всего) - 247;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7"/>
          <w:szCs w:val="27"/>
        </w:rPr>
        <w:tab/>
        <w:t>недопущение совершения террористических актов, снижение рисков совершения террористических актов - выполнено;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7"/>
          <w:szCs w:val="27"/>
        </w:rPr>
        <w:tab/>
        <w:t>количество погибших и пострадавших в дорожно-транспортных происшествиях на дорогах города – 9;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7"/>
          <w:szCs w:val="27"/>
        </w:rPr>
        <w:tab/>
        <w:t>выполнение плана призыва граждан на военную службу, установленную Министерством обороны Российской Федерации.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7"/>
          <w:szCs w:val="27"/>
        </w:rPr>
        <w:tab/>
        <w:t>Социальная эффективность Программы характеризуется улучшением условий проживания населения, снижением риска гибели, обусловленных риском совершения террористического акта, дорожно-транспортного происшествия, чрезвычайной ситуации.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cs="Times New Roman" w:ascii="Times New Roman" w:hAnsi="Times New Roman"/>
          <w:sz w:val="27"/>
          <w:szCs w:val="27"/>
        </w:rPr>
        <w:tab/>
        <w:t>Перечень показателей (индикаторов) реализации программы приведены в приложении №1 к программе.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7"/>
          <w:szCs w:val="27"/>
        </w:rPr>
        <w:t>4. Обобщенная характеристика подпрограмм, мероприятий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7"/>
          <w:szCs w:val="27"/>
        </w:rPr>
        <w:t>муниципальной программы</w:t>
      </w:r>
    </w:p>
    <w:p>
      <w:pPr>
        <w:pStyle w:val="Normal"/>
        <w:spacing w:lineRule="auto" w:line="240" w:before="0" w:after="0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cs="Times New Roman" w:ascii="Times New Roman" w:hAnsi="Times New Roman"/>
          <w:sz w:val="27"/>
          <w:szCs w:val="27"/>
        </w:rPr>
        <w:tab/>
        <w:t>Мероприятия программы включены в четыре подпрограммы.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bCs/>
          <w:sz w:val="27"/>
          <w:szCs w:val="27"/>
        </w:rPr>
      </w:pPr>
      <w:r>
        <w:rPr>
          <w:rFonts w:cs="Times New Roman" w:ascii="Times New Roman" w:hAnsi="Times New Roman"/>
          <w:b/>
          <w:bCs/>
          <w:sz w:val="27"/>
          <w:szCs w:val="27"/>
        </w:rPr>
        <w:t xml:space="preserve">Подпрограмма «Обеспечение общественного порядка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bCs/>
          <w:sz w:val="27"/>
          <w:szCs w:val="27"/>
        </w:rPr>
      </w:pPr>
      <w:r>
        <w:rPr>
          <w:rFonts w:cs="Times New Roman" w:ascii="Times New Roman" w:hAnsi="Times New Roman"/>
          <w:b/>
          <w:bCs/>
          <w:sz w:val="27"/>
          <w:szCs w:val="27"/>
        </w:rPr>
        <w:t xml:space="preserve">и противодействие преступности в городе Кирсанове»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bCs/>
          <w:sz w:val="27"/>
          <w:szCs w:val="27"/>
        </w:rPr>
      </w:pPr>
      <w:r>
        <w:rPr>
          <w:rFonts w:cs="Times New Roman" w:ascii="Times New Roman" w:hAnsi="Times New Roman"/>
          <w:b/>
          <w:bCs/>
          <w:sz w:val="27"/>
          <w:szCs w:val="27"/>
        </w:rPr>
        <w:t>предусматривает решение следующих задач: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7"/>
          <w:szCs w:val="27"/>
        </w:rPr>
        <w:tab/>
        <w:t>- снижение уровня правонарушений в городе;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7"/>
          <w:szCs w:val="27"/>
        </w:rPr>
        <w:tab/>
        <w:t>- воссоздание института социальной профилактики и вовлечение общественности в предупреждение правонарушений;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7"/>
          <w:szCs w:val="27"/>
        </w:rPr>
        <w:tab/>
        <w:t>- ресоциализация лиц, освободившихся из мест лишения свободы, а также обеспечение исполнения уголовных наказаний, не связанных с лишением свободы;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7"/>
          <w:szCs w:val="27"/>
        </w:rPr>
        <w:tab/>
        <w:t>- обеспечение безопасности граждан на улицах и в других общественных местах;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cs="Times New Roman" w:ascii="Times New Roman" w:hAnsi="Times New Roman"/>
          <w:sz w:val="27"/>
          <w:szCs w:val="27"/>
        </w:rPr>
        <w:tab/>
        <w:t>- профилактика правонарушений и борьба с преступностью в городе.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bCs/>
          <w:sz w:val="27"/>
          <w:szCs w:val="27"/>
        </w:rPr>
      </w:pPr>
      <w:r>
        <w:rPr>
          <w:rFonts w:cs="Times New Roman" w:ascii="Times New Roman" w:hAnsi="Times New Roman"/>
          <w:b/>
          <w:bCs/>
          <w:sz w:val="27"/>
          <w:szCs w:val="27"/>
        </w:rPr>
        <w:t>Подпрограмма «Противодействие терроризму и экстремизму в городе Кирсанове» предусматривает решение следующих задач: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7"/>
          <w:szCs w:val="27"/>
        </w:rPr>
        <w:tab/>
        <w:t>- улучшение социальной защищенности общества и технической укрепленности организаций, предприятий и объектов с массовым пребыванием людей в случае возникновения террористической угрозы;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7"/>
          <w:szCs w:val="27"/>
        </w:rPr>
        <w:tab/>
        <w:t>- повышение уровня организованности и бдительности населения в области противодействия террористической угрозе;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7"/>
          <w:szCs w:val="27"/>
        </w:rPr>
        <w:tab/>
        <w:t>- обеспечение готовности сил и средств к отражению нападений террористов на объекты транспорта, связи, торговли, места массового пребывания граждан, другие особо важные и охраняемые объекты и минимизацию их последствий;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cs="Times New Roman" w:ascii="Times New Roman" w:hAnsi="Times New Roman"/>
          <w:sz w:val="27"/>
          <w:szCs w:val="27"/>
        </w:rPr>
        <w:tab/>
        <w:t>- совершенствование системы информационного противодействия терроризму и экстремизму, предусматривающее задействование органов государственной власти, возможностей правоохранительных органов и спецслужб, общественных организаций, специалистов в области религиозных отношений, образования, культуры, средств массовой информации в осуществлении деятельности на данном направлении.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bCs/>
          <w:sz w:val="27"/>
          <w:szCs w:val="27"/>
        </w:rPr>
      </w:pPr>
      <w:r>
        <w:rPr>
          <w:rFonts w:cs="Times New Roman" w:ascii="Times New Roman" w:hAnsi="Times New Roman"/>
          <w:b/>
          <w:bCs/>
          <w:sz w:val="27"/>
          <w:szCs w:val="27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bCs/>
          <w:sz w:val="27"/>
          <w:szCs w:val="27"/>
        </w:rPr>
      </w:pPr>
      <w:r>
        <w:rPr>
          <w:rFonts w:cs="Times New Roman" w:ascii="Times New Roman" w:hAnsi="Times New Roman"/>
          <w:b/>
          <w:bCs/>
          <w:sz w:val="27"/>
          <w:szCs w:val="27"/>
        </w:rPr>
        <w:t>Подпрограмма «Повышение безопасности дорожного движения в городе Кирсанове» предусматривает решение следующих задач: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7"/>
          <w:szCs w:val="27"/>
        </w:rPr>
        <w:tab/>
        <w:t>- совершенствование системы управления деятельностью по повышению безопасности дорожного движения;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7"/>
          <w:szCs w:val="27"/>
        </w:rPr>
        <w:tab/>
        <w:t>- повышение правосознания и ответственности участников дорожного движения;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7"/>
          <w:szCs w:val="27"/>
        </w:rPr>
        <w:tab/>
        <w:t>- предотвращение дорожно-транспортных происшествий, вероятность гибели людей в которых наиболее высока, снижение тяжести травм в дорожно-транспортных происшествиях;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cs="Times New Roman" w:ascii="Times New Roman" w:hAnsi="Times New Roman"/>
          <w:sz w:val="27"/>
          <w:szCs w:val="27"/>
        </w:rPr>
        <w:tab/>
        <w:t>- развитие современной системы оказания помощи пострадавшим в дорожно-транспортных происшествиях.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7"/>
          <w:szCs w:val="27"/>
        </w:rPr>
        <w:t>Подпрограмма «Подготовка граждан к военной службе в городе Кирсанове» предусматривает решение следующих задач: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cs="Times New Roman" w:ascii="Times New Roman" w:hAnsi="Times New Roman"/>
          <w:sz w:val="27"/>
          <w:szCs w:val="27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7"/>
          <w:szCs w:val="27"/>
        </w:rPr>
        <w:tab/>
        <w:t>- улучшение состояния здоровья допризывной молодежи;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7"/>
          <w:szCs w:val="27"/>
        </w:rPr>
        <w:tab/>
        <w:t>- повышение уровня физической подготовленности допризывной молодежи;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7"/>
          <w:szCs w:val="27"/>
        </w:rPr>
        <w:tab/>
        <w:t>- совершенствование военно-патриотического воспитания граждан и повышение мотивации к военной службе;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7"/>
          <w:szCs w:val="27"/>
        </w:rPr>
        <w:tab/>
        <w:t>- совершенствование системы получения гражданами мужского пола начальных знаний в области обороны и их обучения по основам военной службы;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7"/>
          <w:szCs w:val="27"/>
        </w:rPr>
        <w:tab/>
        <w:t>- формирование и совершенствование учебно-материальной базы для подготовки граждан к военной службе.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7"/>
          <w:szCs w:val="27"/>
        </w:rPr>
        <w:tab/>
        <w:t>Решение задач в рамках программы будет обеспечено комплексом мероприятий, подробное описание которых приведено в приложение №2 к программе.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firstLine="53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7"/>
          <w:szCs w:val="27"/>
        </w:rPr>
        <w:t>5. Обоснование объема финансовых ресурсов, необходимых для реализации муниципальной программы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7"/>
          <w:szCs w:val="27"/>
        </w:rPr>
        <w:tab/>
        <w:t>Распорядителями бюджетных средств является администрация города.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7"/>
          <w:szCs w:val="27"/>
        </w:rPr>
        <w:tab/>
        <w:t>Финансирование мероприятий программы предусматривается за счет средств бюджета города.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7"/>
          <w:szCs w:val="27"/>
        </w:rPr>
        <w:tab/>
        <w:t>Распределение бюджетных ассигнований на реализацию программы утверждается решением Кирсановского городского Совета народных депутатов Тамбовской области о городском бюджете на очередной финансовый год и на плановый период.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sz w:val="27"/>
          <w:szCs w:val="27"/>
        </w:rPr>
        <w:tab/>
      </w:r>
      <w:r>
        <w:rPr>
          <w:rFonts w:cs="Times New Roman" w:ascii="Times New Roman" w:hAnsi="Times New Roman"/>
          <w:color w:val="000000"/>
          <w:sz w:val="27"/>
          <w:szCs w:val="27"/>
        </w:rPr>
        <w:t>Объемы бюджетных ассигнований уточняются ежегодно при формировании бюджета города на очередной финансовый год и на плановый период.</w:t>
      </w:r>
    </w:p>
    <w:p>
      <w:pPr>
        <w:pStyle w:val="Standard"/>
        <w:snapToGrid w:val="false"/>
        <w:spacing w:lineRule="atLeast" w:line="20"/>
        <w:ind w:firstLine="720"/>
        <w:jc w:val="both"/>
        <w:rPr>
          <w:color w:val="000000"/>
          <w:kern w:val="0"/>
          <w:sz w:val="28"/>
          <w:szCs w:val="28"/>
          <w:lang w:eastAsia="ru-RU"/>
        </w:rPr>
      </w:pPr>
      <w:r>
        <w:rPr>
          <w:color w:val="000000"/>
          <w:kern w:val="0"/>
          <w:sz w:val="28"/>
          <w:szCs w:val="28"/>
          <w:lang w:eastAsia="ru-RU"/>
        </w:rPr>
        <w:t>«Общий объем финансирования Программы в 2015-2030 годах составит —</w:t>
      </w:r>
      <w:r>
        <w:rPr>
          <w:color w:val="000000"/>
          <w:sz w:val="28"/>
          <w:szCs w:val="28"/>
        </w:rPr>
        <w:t xml:space="preserve">24525,45 </w:t>
      </w:r>
      <w:r>
        <w:rPr>
          <w:color w:val="000000"/>
          <w:kern w:val="0"/>
          <w:sz w:val="28"/>
          <w:szCs w:val="28"/>
          <w:lang w:eastAsia="ru-RU"/>
        </w:rPr>
        <w:t>тыс. рублей, в том числе:</w:t>
      </w:r>
    </w:p>
    <w:p>
      <w:pPr>
        <w:pStyle w:val="Standard"/>
        <w:snapToGrid w:val="false"/>
        <w:spacing w:lineRule="atLeast" w:line="20"/>
        <w:ind w:firstLine="720"/>
        <w:jc w:val="both"/>
        <w:rPr>
          <w:color w:val="000000"/>
          <w:kern w:val="0"/>
          <w:sz w:val="28"/>
          <w:szCs w:val="28"/>
          <w:lang w:eastAsia="ru-RU"/>
        </w:rPr>
      </w:pPr>
      <w:r>
        <w:rPr>
          <w:color w:val="000000"/>
          <w:kern w:val="0"/>
          <w:sz w:val="28"/>
          <w:szCs w:val="28"/>
          <w:lang w:eastAsia="ru-RU"/>
        </w:rPr>
        <w:t xml:space="preserve"> </w:t>
      </w:r>
      <w:r>
        <w:rPr>
          <w:color w:val="000000"/>
          <w:kern w:val="0"/>
          <w:sz w:val="28"/>
          <w:szCs w:val="28"/>
          <w:lang w:eastAsia="ru-RU"/>
        </w:rPr>
        <w:t xml:space="preserve">за счет средств бюджета города </w:t>
      </w:r>
      <w:r>
        <w:rPr>
          <w:color w:val="000000"/>
          <w:sz w:val="28"/>
          <w:szCs w:val="28"/>
        </w:rPr>
        <w:t xml:space="preserve">21469,05 </w:t>
      </w:r>
      <w:r>
        <w:rPr>
          <w:color w:val="000000"/>
          <w:kern w:val="0"/>
          <w:sz w:val="28"/>
          <w:szCs w:val="28"/>
          <w:lang w:eastAsia="ru-RU"/>
        </w:rPr>
        <w:t>— тыс. рублей;  в том числе по годам:</w:t>
      </w:r>
    </w:p>
    <w:p>
      <w:pPr>
        <w:pStyle w:val="Normal"/>
        <w:widowControl w:val="false"/>
        <w:tabs>
          <w:tab w:val="clear" w:pos="708"/>
          <w:tab w:val="left" w:pos="0" w:leader="none"/>
        </w:tabs>
        <w:spacing w:lineRule="atLeast" w:line="20" w:before="0"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ab/>
        <w:t>- 2015 год — 980,85 тыс.руб;</w:t>
        <w:tab/>
        <w:tab/>
        <w:t>- 2025 год — 1825,4 тыс.руб;</w:t>
      </w:r>
    </w:p>
    <w:p>
      <w:pPr>
        <w:pStyle w:val="Normal"/>
        <w:spacing w:lineRule="atLeast" w:line="20" w:before="0"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ab/>
        <w:t>- 2016 год — 2350,0 тыс.руб;</w:t>
        <w:tab/>
        <w:tab/>
        <w:t>- 2025 год — 1825,4 тыс.руб;</w:t>
      </w:r>
    </w:p>
    <w:p>
      <w:pPr>
        <w:pStyle w:val="Normal"/>
        <w:spacing w:lineRule="atLeast" w:line="20" w:before="0"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ab/>
        <w:t>- 2017 год — 1113,0 тыс.руб;</w:t>
        <w:tab/>
        <w:tab/>
        <w:t>- 2026 год — 1825,0 тыс.руб;</w:t>
      </w:r>
    </w:p>
    <w:p>
      <w:pPr>
        <w:pStyle w:val="Normal"/>
        <w:spacing w:lineRule="atLeast" w:line="20" w:before="0"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ab/>
        <w:t>- 2018 год — 988,1 тыс.руб;</w:t>
        <w:tab/>
        <w:tab/>
        <w:t>- 2027 год — 1825,0 тыс.руб;</w:t>
      </w:r>
    </w:p>
    <w:p>
      <w:pPr>
        <w:pStyle w:val="Normal"/>
        <w:spacing w:lineRule="atLeast" w:line="20" w:before="0"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ab/>
        <w:t>- 2019 год — 1336,9 тыс.руб;</w:t>
        <w:tab/>
        <w:tab/>
        <w:t>- 2028 год — 1825,0 тыс.руб;</w:t>
      </w:r>
    </w:p>
    <w:p>
      <w:pPr>
        <w:pStyle w:val="Normal"/>
        <w:spacing w:lineRule="atLeast" w:line="20" w:before="0"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ab/>
        <w:t>- 2020 год — 759,3 тыс.руб.;</w:t>
        <w:tab/>
        <w:tab/>
        <w:t>- 2029 год — 1825,0 тыс.руб.</w:t>
      </w:r>
    </w:p>
    <w:p>
      <w:pPr>
        <w:pStyle w:val="Normal"/>
        <w:spacing w:lineRule="atLeast" w:line="20" w:before="0"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ab/>
        <w:t>- 2021 год — 919,5 тыс.руб;</w:t>
        <w:tab/>
        <w:tab/>
        <w:t xml:space="preserve">- 2030 год — 1825,0 тыс.руб. </w:t>
      </w:r>
    </w:p>
    <w:p>
      <w:pPr>
        <w:pStyle w:val="Normal"/>
        <w:spacing w:lineRule="atLeast" w:line="20" w:before="0"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ab/>
        <w:t>- 2022 год — 1478,5 тыс.руб;</w:t>
      </w:r>
    </w:p>
    <w:p>
      <w:pPr>
        <w:pStyle w:val="Normal"/>
        <w:spacing w:lineRule="atLeast" w:line="20" w:before="0"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ab/>
        <w:t>- 2023 год — 1823,4 тыс.руб;</w:t>
      </w:r>
    </w:p>
    <w:p>
      <w:pPr>
        <w:pStyle w:val="Normal"/>
        <w:spacing w:lineRule="atLeast" w:line="20" w:before="0"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ab/>
        <w:t>- 2024 год — 1825,4 тыс.руб;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  <w:lang w:val="en-US"/>
        </w:rPr>
        <w:t>I</w:t>
      </w:r>
      <w:r>
        <w:rPr>
          <w:rFonts w:cs="Times New Roman" w:ascii="Times New Roman" w:hAnsi="Times New Roman"/>
          <w:sz w:val="28"/>
          <w:szCs w:val="28"/>
        </w:rPr>
        <w:t xml:space="preserve"> этап реализации 2015 – 2022 годы: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федеральный бюджет – 0 тыс. рублей: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бюджет области – 858,4 тыс. рублей: 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бюджет города – 9067,85 тыс. рублей: </w:t>
      </w:r>
    </w:p>
    <w:p>
      <w:pPr>
        <w:pStyle w:val="NoSpacing"/>
        <w:rPr>
          <w:szCs w:val="28"/>
        </w:rPr>
      </w:pPr>
      <w:r>
        <w:rPr>
          <w:szCs w:val="28"/>
        </w:rPr>
        <w:t>- 2015 год — 980,85 тыс. рублей;</w:t>
      </w:r>
    </w:p>
    <w:p>
      <w:pPr>
        <w:pStyle w:val="NoSpacing"/>
        <w:rPr>
          <w:szCs w:val="28"/>
        </w:rPr>
      </w:pPr>
      <w:r>
        <w:rPr>
          <w:szCs w:val="28"/>
        </w:rPr>
        <w:t>- 2016 год — 2350,0тыс. рублей;</w:t>
      </w:r>
    </w:p>
    <w:p>
      <w:pPr>
        <w:pStyle w:val="NoSpacing"/>
        <w:rPr>
          <w:szCs w:val="28"/>
        </w:rPr>
      </w:pPr>
      <w:r>
        <w:rPr>
          <w:szCs w:val="28"/>
        </w:rPr>
        <w:t>- 2017 год — 1113,0 тыс. рублей;</w:t>
      </w:r>
    </w:p>
    <w:p>
      <w:pPr>
        <w:pStyle w:val="NoSpacing"/>
        <w:rPr>
          <w:szCs w:val="28"/>
        </w:rPr>
      </w:pPr>
      <w:r>
        <w:rPr>
          <w:szCs w:val="28"/>
        </w:rPr>
        <w:t>- 2018 год — 988,1 тыс. рублей;</w:t>
      </w:r>
    </w:p>
    <w:p>
      <w:pPr>
        <w:pStyle w:val="NoSpacing"/>
        <w:rPr>
          <w:szCs w:val="28"/>
        </w:rPr>
      </w:pPr>
      <w:r>
        <w:rPr>
          <w:szCs w:val="28"/>
        </w:rPr>
        <w:t>- 2019 год — 1336,9 тыс. рублей;</w:t>
      </w:r>
    </w:p>
    <w:p>
      <w:pPr>
        <w:pStyle w:val="NoSpacing"/>
        <w:rPr>
          <w:szCs w:val="28"/>
        </w:rPr>
      </w:pPr>
      <w:r>
        <w:rPr>
          <w:szCs w:val="28"/>
        </w:rPr>
        <w:t>- 2020 год — 759,3 тыс. рублей;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- 2021 год — 919,5 тыс. рублей</w:t>
      </w:r>
    </w:p>
    <w:p>
      <w:pPr>
        <w:pStyle w:val="NoSpacing"/>
        <w:rPr>
          <w:szCs w:val="28"/>
        </w:rPr>
      </w:pPr>
      <w:r>
        <w:rPr>
          <w:szCs w:val="28"/>
        </w:rPr>
        <w:t>- 2022 год — 1478,5 тыс. рублей;</w:t>
      </w:r>
    </w:p>
    <w:p>
      <w:pPr>
        <w:pStyle w:val="NoSpacing"/>
        <w:rPr>
          <w:szCs w:val="28"/>
        </w:rPr>
      </w:pPr>
      <w:r>
        <w:rPr>
          <w:szCs w:val="28"/>
        </w:rPr>
      </w:r>
    </w:p>
    <w:p>
      <w:pPr>
        <w:pStyle w:val="Normal"/>
        <w:spacing w:lineRule="auto" w:line="24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внебюджетные источники – 0 тыс. рублей: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  <w:lang w:val="en-US"/>
        </w:rPr>
        <w:t>II</w:t>
      </w:r>
      <w:r>
        <w:rPr>
          <w:rFonts w:cs="Times New Roman" w:ascii="Times New Roman" w:hAnsi="Times New Roman"/>
          <w:sz w:val="28"/>
          <w:szCs w:val="28"/>
        </w:rPr>
        <w:t xml:space="preserve"> этап реализации 2023 – 2030 годы: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федеральный бюджет – 1,2 тыс. рублей: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бюджет области – 2198,0  тыс. рублей: 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бюджет города – 12400 тыс. рублей: </w:t>
      </w:r>
    </w:p>
    <w:p>
      <w:pPr>
        <w:pStyle w:val="NoSpacing"/>
        <w:rPr>
          <w:szCs w:val="28"/>
        </w:rPr>
      </w:pPr>
      <w:r>
        <w:rPr>
          <w:szCs w:val="28"/>
        </w:rPr>
        <w:t>- 2023 год — 1823,4 тыс. рублей;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- 2024 год — 1825,4 тыс. рублей;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- 2025 год — 1825,4 тыс. рублей;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- 2026 год — 1825,0 тыс. рублей;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- 2027 год — 1825,0 тыс. рублей;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- 2028 год — 1825,0 тыс. рублей;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- 2029 год — 1825,0 тыс. рублей;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- 2030 год — 1825,0 тыс. рублей;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внебюджетные источники – 0 тыс. рублей: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7"/>
          <w:szCs w:val="27"/>
        </w:rPr>
        <w:t>Более подробная информация по ресурсному обеспечению реализации мероприятий программы и прогнозной оценке на период до 2024 года за счет средств бюджета города с указанием главных распорядителей бюджетных средств, представлена в приложении №3 к программе.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bCs/>
          <w:sz w:val="27"/>
          <w:szCs w:val="27"/>
        </w:rPr>
      </w:pPr>
      <w:r>
        <w:rPr>
          <w:rFonts w:cs="Times New Roman" w:ascii="Times New Roman" w:hAnsi="Times New Roman"/>
          <w:b/>
          <w:bCs/>
          <w:sz w:val="27"/>
          <w:szCs w:val="27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7"/>
          <w:szCs w:val="27"/>
        </w:rPr>
        <w:t>6. Механизмы реализации муниципальной программы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7"/>
          <w:szCs w:val="27"/>
        </w:rPr>
        <w:tab/>
        <w:t>Механизм выполнения поставленных в программе задач основывается на указанных выше целевых установках и представляет собой реализацию определенного перечня мероприятий.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7"/>
          <w:szCs w:val="27"/>
        </w:rPr>
        <w:tab/>
        <w:t>Приобретение материальных средств осуществляется на основании Федерального закона от 05 апреля 2013г. № 44-ФЗ «О контрактной системе в сфере закупок товаров, работ, услуг для обеспечения государственных и муниципальных нужд».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7"/>
          <w:szCs w:val="27"/>
        </w:rPr>
        <w:tab/>
        <w:t>Общий контроль за выполнением Программы осуществляет администрация города, отдел ГО, ЧС, общественной безопасности и мобилизационной подготовки администрации города, которые уточняют показатели по программным мероприятиям, механизм реализации Программы и состав исполнителей.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7"/>
          <w:szCs w:val="27"/>
        </w:rPr>
        <w:tab/>
        <w:t>Заказчик Программы в процессе реализации программных мероприятий: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7"/>
          <w:szCs w:val="27"/>
        </w:rPr>
        <w:tab/>
        <w:t>осуществляет координацию деятельности исполнителей программных мероприятий по их выполнению, обеспечивает эффективное использование средств, выделяемых на реализацию Программы;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7"/>
          <w:szCs w:val="27"/>
        </w:rPr>
        <w:tab/>
        <w:t>с учетом выделенных на реализацию в текущем году финансовых средств уточняет целевые индикаторы, затраты по программным мероприятиям, механизм реализации Программы;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7"/>
          <w:szCs w:val="27"/>
        </w:rPr>
        <w:tab/>
        <w:t>разрабатывает дополнительные меры по привлечению средств из внебюджетных источников;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7"/>
          <w:szCs w:val="27"/>
        </w:rPr>
        <w:tab/>
        <w:t>при необходимости в установленном порядке вносит предложения о продлении срока реализации Программы или ее досрочном прекращении;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7"/>
          <w:szCs w:val="27"/>
        </w:rPr>
        <w:tab/>
        <w:t>несет ответственность за подготовку и реализацию Программы в целом.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7"/>
          <w:szCs w:val="27"/>
        </w:rPr>
        <w:tab/>
        <w:t>обеспечивает реализацию мероприятий Программы с указанием сроков проведения и непосредственных исполнителей, определяет формы реализации мероприятий программы (муниципальный заказ, непосредственная реализация мероприятий Программы ответственными исполнителями).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7"/>
          <w:szCs w:val="27"/>
        </w:rPr>
        <w:tab/>
        <w:t>Участники Программы, ответственные за выполнение перечня мероприятий, ежегодно, до 10 июля и до 15 февраля (нарастающим итогом с начала года) года, следующего за отчетным периодом, представляют в отдел ГО, ЧС, общественной безопасности и мобилизационной подготовки администрации города информацию о ходе выполнения мероприятий Программы.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7"/>
          <w:szCs w:val="27"/>
        </w:rPr>
        <w:tab/>
        <w:t>Отдел ГО, ЧС, ОБ и МП администрации города по итогам за полугодие и год представляет по электронной почте и на бумажном носителе в отдел по экономическому развитию, труду, предпринимательства и муниципального заказа администрации города отчет о ходе реализации муниципальной программы.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7"/>
          <w:szCs w:val="27"/>
        </w:rPr>
        <w:tab/>
        <w:t>Полугодовой и годовой отчеты подлежат размещению на официальном сайте администрации города ответственным исполнителем в сети Интернет.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bookmarkStart w:id="1" w:name="sub_1053"/>
      <w:bookmarkEnd w:id="1"/>
      <w:r>
        <w:rPr>
          <w:rFonts w:cs="Times New Roman" w:ascii="Times New Roman" w:hAnsi="Times New Roman"/>
          <w:sz w:val="27"/>
          <w:szCs w:val="27"/>
        </w:rPr>
        <w:tab/>
        <w:t>Информация по итогам полугодия представляется в срок до 25 июля.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7"/>
          <w:szCs w:val="27"/>
        </w:rPr>
        <w:tab/>
        <w:t>Информация по итогам года представляется в срок до 01 марта года, следующего за отчетным.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p>
      <w:pPr>
        <w:sectPr>
          <w:headerReference w:type="default" r:id="rId2"/>
          <w:type w:val="nextPage"/>
          <w:pgSz w:w="11906" w:h="16838"/>
          <w:pgMar w:left="1440" w:right="850" w:gutter="0" w:header="708" w:top="993" w:footer="0" w:bottom="1134"/>
          <w:pgNumType w:fmt="decimal"/>
          <w:formProt w:val="false"/>
          <w:titlePg/>
          <w:textDirection w:val="lrTb"/>
          <w:docGrid w:type="default" w:linePitch="360" w:charSpace="4294955007"/>
        </w:sect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p>
      <w:pPr>
        <w:pStyle w:val="NoSpacing"/>
        <w:ind w:left="9204" w:firstLine="708"/>
        <w:rPr>
          <w:sz w:val="24"/>
          <w:szCs w:val="24"/>
        </w:rPr>
      </w:pPr>
      <w:r>
        <w:rPr>
          <w:sz w:val="24"/>
          <w:szCs w:val="24"/>
        </w:rPr>
        <w:t>ПРИЛОЖЕНИЕ №1</w:t>
      </w:r>
    </w:p>
    <w:p>
      <w:pPr>
        <w:pStyle w:val="NoSpacing"/>
        <w:ind w:left="7080" w:firstLine="708"/>
        <w:rPr>
          <w:sz w:val="24"/>
          <w:szCs w:val="24"/>
        </w:rPr>
      </w:pPr>
      <w:r>
        <w:rPr>
          <w:sz w:val="24"/>
          <w:szCs w:val="24"/>
        </w:rPr>
        <w:t xml:space="preserve">к муниципальной программе «Обеспечение безопасности населения </w:t>
      </w:r>
    </w:p>
    <w:p>
      <w:pPr>
        <w:pStyle w:val="NoSpacing"/>
        <w:ind w:left="7080" w:firstLine="708"/>
        <w:rPr>
          <w:sz w:val="24"/>
          <w:szCs w:val="24"/>
        </w:rPr>
      </w:pPr>
      <w:r>
        <w:rPr>
          <w:sz w:val="24"/>
          <w:szCs w:val="24"/>
        </w:rPr>
        <w:t xml:space="preserve">города Кирсанова Тамбовской области и противодействие </w:t>
      </w:r>
    </w:p>
    <w:p>
      <w:pPr>
        <w:pStyle w:val="NoSpacing"/>
        <w:ind w:left="7080" w:firstLine="708"/>
        <w:rPr>
          <w:sz w:val="24"/>
          <w:szCs w:val="24"/>
        </w:rPr>
      </w:pPr>
      <w:r>
        <w:rPr>
          <w:sz w:val="24"/>
          <w:szCs w:val="24"/>
        </w:rPr>
        <w:t>преступности на 2015-2030 годы»</w:t>
      </w:r>
    </w:p>
    <w:p>
      <w:pPr>
        <w:pStyle w:val="NoSpacing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Spacing"/>
        <w:jc w:val="center"/>
        <w:rPr>
          <w:b/>
          <w:b/>
          <w:color w:val="000000"/>
          <w:szCs w:val="28"/>
        </w:rPr>
      </w:pPr>
      <w:r>
        <w:rPr>
          <w:b/>
          <w:color w:val="000000"/>
          <w:szCs w:val="28"/>
        </w:rPr>
        <w:t>ПЕРЕЧЕНЬ</w:t>
      </w:r>
    </w:p>
    <w:p>
      <w:pPr>
        <w:pStyle w:val="NoSpacing"/>
        <w:jc w:val="center"/>
        <w:rPr>
          <w:b/>
          <w:b/>
          <w:color w:val="000000"/>
          <w:szCs w:val="28"/>
        </w:rPr>
      </w:pPr>
      <w:r>
        <w:rPr>
          <w:b/>
          <w:color w:val="000000"/>
          <w:szCs w:val="28"/>
        </w:rPr>
        <w:t>показателей (индикаторов) муниципальной программы «Обеспечение безопасности населения</w:t>
      </w:r>
    </w:p>
    <w:p>
      <w:pPr>
        <w:pStyle w:val="NoSpacing"/>
        <w:jc w:val="center"/>
        <w:rPr>
          <w:b/>
          <w:b/>
          <w:color w:val="000000"/>
          <w:szCs w:val="28"/>
        </w:rPr>
      </w:pPr>
      <w:r>
        <w:rPr>
          <w:b/>
          <w:color w:val="000000"/>
          <w:szCs w:val="28"/>
        </w:rPr>
        <w:t>города Кирсанова Тамбовской области и противодействие преступности на 2015-2030 годы», 1 этап реализации (2015 -2022)</w:t>
      </w:r>
    </w:p>
    <w:p>
      <w:pPr>
        <w:pStyle w:val="NoSpacing"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W w:w="13336" w:type="dxa"/>
        <w:jc w:val="left"/>
        <w:tblInd w:w="6" w:type="dxa"/>
        <w:tblLayout w:type="fixed"/>
        <w:tblCellMar>
          <w:top w:w="0" w:type="dxa"/>
          <w:left w:w="11" w:type="dxa"/>
          <w:bottom w:w="0" w:type="dxa"/>
          <w:right w:w="0" w:type="dxa"/>
        </w:tblCellMar>
        <w:tblLook w:firstRow="0" w:noVBand="0" w:lastRow="0" w:firstColumn="0" w:lastColumn="0" w:noHBand="0" w:val="0000"/>
      </w:tblPr>
      <w:tblGrid>
        <w:gridCol w:w="568"/>
        <w:gridCol w:w="2509"/>
        <w:gridCol w:w="1318"/>
        <w:gridCol w:w="1275"/>
        <w:gridCol w:w="852"/>
        <w:gridCol w:w="850"/>
        <w:gridCol w:w="992"/>
        <w:gridCol w:w="992"/>
        <w:gridCol w:w="992"/>
        <w:gridCol w:w="994"/>
        <w:gridCol w:w="992"/>
        <w:gridCol w:w="992"/>
        <w:gridCol w:w="9"/>
      </w:tblGrid>
      <w:tr>
        <w:trPr/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  <w:lang w:val="en-US"/>
              </w:rPr>
              <w:t>/</w:t>
            </w:r>
            <w:r>
              <w:rPr>
                <w:sz w:val="24"/>
                <w:szCs w:val="24"/>
              </w:rPr>
              <w:t>п</w:t>
            </w:r>
          </w:p>
        </w:tc>
        <w:tc>
          <w:tcPr>
            <w:tcW w:w="25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Показатель (индикатор) (наименование) программы, подпрограммы</w:t>
            </w:r>
          </w:p>
        </w:tc>
        <w:tc>
          <w:tcPr>
            <w:tcW w:w="13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Единица</w:t>
            </w:r>
          </w:p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измерения</w:t>
            </w:r>
          </w:p>
        </w:tc>
        <w:tc>
          <w:tcPr>
            <w:tcW w:w="894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11" w:type="dxa"/>
            </w:tcMar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Целевые показатели и индикаторы</w:t>
            </w:r>
          </w:p>
        </w:tc>
      </w:tr>
      <w:tr>
        <w:trPr/>
        <w:tc>
          <w:tcPr>
            <w:tcW w:w="5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5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31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894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11" w:type="dxa"/>
            </w:tcMar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Значение показателей</w:t>
            </w:r>
          </w:p>
        </w:tc>
      </w:tr>
      <w:tr>
        <w:trPr/>
        <w:tc>
          <w:tcPr>
            <w:tcW w:w="5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5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31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Базовый год (отчетный)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11" w:type="dxa"/>
            </w:tcMar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</w:p>
        </w:tc>
        <w:tc>
          <w:tcPr>
            <w:tcW w:w="9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/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11" w:type="dxa"/>
            </w:tcMar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945" w:hRule="atLeast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Зарегистрированные преступления (всего)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преступлений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258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11" w:type="dxa"/>
            </w:tcMar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</w:t>
            </w:r>
          </w:p>
        </w:tc>
        <w:tc>
          <w:tcPr>
            <w:tcW w:w="9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/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Недопущение совершения террористических актов, снижение рисков совершения террористич. актов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выполнено/ не выполнено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выполнено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выполнено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11" w:type="dxa"/>
            </w:tcMar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выполнено</w:t>
            </w:r>
          </w:p>
        </w:tc>
        <w:tc>
          <w:tcPr>
            <w:tcW w:w="9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/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погибших и пострадавших в дорожно-транспортных происшествиях на дорогах города</w:t>
            </w:r>
          </w:p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11" w:type="dxa"/>
            </w:tcMar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9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/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  <w:lang w:val="en-US"/>
              </w:rPr>
              <w:t>/</w:t>
            </w:r>
            <w:r>
              <w:rPr>
                <w:sz w:val="24"/>
                <w:szCs w:val="24"/>
              </w:rPr>
              <w:t>п</w:t>
            </w:r>
          </w:p>
        </w:tc>
        <w:tc>
          <w:tcPr>
            <w:tcW w:w="25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Показатель (индикатор) (наименование) программы, подпрограммы</w:t>
            </w:r>
          </w:p>
        </w:tc>
        <w:tc>
          <w:tcPr>
            <w:tcW w:w="13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Единица</w:t>
            </w:r>
          </w:p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измерения</w:t>
            </w:r>
          </w:p>
        </w:tc>
        <w:tc>
          <w:tcPr>
            <w:tcW w:w="894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Целевые показатели и индикаторы</w:t>
            </w:r>
          </w:p>
        </w:tc>
      </w:tr>
      <w:tr>
        <w:trPr/>
        <w:tc>
          <w:tcPr>
            <w:tcW w:w="5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5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31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894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Значение показателей</w:t>
            </w:r>
          </w:p>
        </w:tc>
      </w:tr>
      <w:tr>
        <w:trPr/>
        <w:tc>
          <w:tcPr>
            <w:tcW w:w="5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5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31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Базовый год (отчетный)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11" w:type="dxa"/>
            </w:tcMar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</w:p>
        </w:tc>
        <w:tc>
          <w:tcPr>
            <w:tcW w:w="9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/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11" w:type="dxa"/>
            </w:tcMar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/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4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плана призыва граждан на военную службу, установленную Министерством обороны Российской Федерации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%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11" w:type="dxa"/>
            </w:tcMar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/>
        <w:tc>
          <w:tcPr>
            <w:tcW w:w="1333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11" w:type="dxa"/>
            </w:tcMar>
          </w:tcPr>
          <w:p>
            <w:pPr>
              <w:pStyle w:val="NoSpacing"/>
              <w:widowControl w:val="false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 Подпрограмма муниципальной программы</w:t>
            </w:r>
          </w:p>
          <w:p>
            <w:pPr>
              <w:pStyle w:val="NoSpacing"/>
              <w:widowControl w:val="false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«Обеспечение общественного порядка и противодействие преступности в городе Кирсанове»</w:t>
            </w:r>
          </w:p>
        </w:tc>
      </w:tr>
      <w:tr>
        <w:trPr>
          <w:trHeight w:val="390" w:hRule="atLeast"/>
        </w:trPr>
        <w:tc>
          <w:tcPr>
            <w:tcW w:w="1333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11" w:type="dxa"/>
            </w:tcMar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 Задача подпрограммы: снижение уровня правонарушений в городе</w:t>
            </w:r>
          </w:p>
        </w:tc>
      </w:tr>
      <w:tr>
        <w:trPr/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1.1.1.</w:t>
            </w:r>
          </w:p>
        </w:tc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Преступления, совершенные несовершеннолетними или при их соучастии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преступлений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11" w:type="dxa"/>
            </w:tcMar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654" w:hRule="atLeast"/>
        </w:trPr>
        <w:tc>
          <w:tcPr>
            <w:tcW w:w="1333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11" w:type="dxa"/>
            </w:tcMar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 Задача подпрограммы: ресоциализация лиц, освободившихся из мест лишения свободы,</w:t>
            </w:r>
          </w:p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 также обеспечение исполнения уголовных наказаний, не связанных с лишением свободы</w:t>
            </w:r>
          </w:p>
        </w:tc>
      </w:tr>
      <w:tr>
        <w:trPr/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1.2.1.</w:t>
            </w:r>
          </w:p>
        </w:tc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Преступления, совершенные лицами, ранее их совершавшими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преступлений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11" w:type="dxa"/>
            </w:tcMar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9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/>
        <w:tc>
          <w:tcPr>
            <w:tcW w:w="1333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1.3. Задача подпрограммы: обеспечение безопасности граждан на улицах и в других общественных местах</w:t>
            </w:r>
          </w:p>
        </w:tc>
      </w:tr>
      <w:tr>
        <w:trPr/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1.3.1.</w:t>
            </w:r>
          </w:p>
        </w:tc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Объекты, оборудованные системами видеонаблюдения</w:t>
            </w:r>
          </w:p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учреждений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11" w:type="dxa"/>
            </w:tcMar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9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/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  <w:lang w:val="en-US"/>
              </w:rPr>
              <w:t>/</w:t>
            </w:r>
            <w:r>
              <w:rPr>
                <w:sz w:val="24"/>
                <w:szCs w:val="24"/>
              </w:rPr>
              <w:t>п</w:t>
            </w:r>
          </w:p>
        </w:tc>
        <w:tc>
          <w:tcPr>
            <w:tcW w:w="25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Показатель (индикатор) (наименование) программы, подпрограммы</w:t>
            </w:r>
          </w:p>
        </w:tc>
        <w:tc>
          <w:tcPr>
            <w:tcW w:w="13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Единица</w:t>
            </w:r>
          </w:p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измерения</w:t>
            </w:r>
          </w:p>
        </w:tc>
        <w:tc>
          <w:tcPr>
            <w:tcW w:w="894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Целевые показатели и индикаторы</w:t>
            </w:r>
          </w:p>
        </w:tc>
      </w:tr>
      <w:tr>
        <w:trPr/>
        <w:tc>
          <w:tcPr>
            <w:tcW w:w="5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5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31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894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Значение показателей</w:t>
            </w:r>
          </w:p>
        </w:tc>
      </w:tr>
      <w:tr>
        <w:trPr/>
        <w:tc>
          <w:tcPr>
            <w:tcW w:w="5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5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31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Базовый год (отчетный)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11" w:type="dxa"/>
            </w:tcMar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</w:p>
        </w:tc>
        <w:tc>
          <w:tcPr>
            <w:tcW w:w="9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/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11" w:type="dxa"/>
            </w:tcMar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454" w:hRule="atLeast"/>
        </w:trPr>
        <w:tc>
          <w:tcPr>
            <w:tcW w:w="1333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11" w:type="dxa"/>
            </w:tcMar>
          </w:tcPr>
          <w:p>
            <w:pPr>
              <w:pStyle w:val="NoSpacing"/>
              <w:widowControl w:val="false"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2. Подпрограмма муниципальной программы «Противодействие терроризму и экстремизму в городе Кирсанове»</w:t>
            </w:r>
          </w:p>
        </w:tc>
      </w:tr>
      <w:tr>
        <w:trPr>
          <w:trHeight w:val="688" w:hRule="atLeast"/>
        </w:trPr>
        <w:tc>
          <w:tcPr>
            <w:tcW w:w="1333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11" w:type="dxa"/>
            </w:tcMar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 Задача подпрограммы: совершенствование систем технической защиты потенциально опасных объектов,</w:t>
            </w:r>
          </w:p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 массового пребывания людей и объектов жизнеобеспечения, находящихся в собственности или в ведении администрации города</w:t>
            </w:r>
          </w:p>
        </w:tc>
      </w:tr>
      <w:tr>
        <w:trPr/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2.1.1.</w:t>
            </w:r>
          </w:p>
        </w:tc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муниципальных учреждений, оборудованных системой видеонаблюдения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11" w:type="dxa"/>
            </w:tcMar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9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410" w:hRule="atLeast"/>
        </w:trPr>
        <w:tc>
          <w:tcPr>
            <w:tcW w:w="1333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11" w:type="dxa"/>
            </w:tcMar>
            <w:vAlign w:val="center"/>
          </w:tcPr>
          <w:p>
            <w:pPr>
              <w:pStyle w:val="NoSpacing"/>
              <w:widowControl w:val="false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2.2. Задача подпрограммы: обеспечение антитеррористической деятельности в городе</w:t>
            </w:r>
          </w:p>
        </w:tc>
      </w:tr>
      <w:tr>
        <w:trPr>
          <w:trHeight w:val="870" w:hRule="atLeast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2.2.1.</w:t>
            </w:r>
          </w:p>
        </w:tc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Недопущение террористических акций на территории города</w:t>
            </w:r>
          </w:p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</w:t>
            </w:r>
            <w:r>
              <w:rPr>
                <w:sz w:val="24"/>
                <w:szCs w:val="24"/>
                <w:lang w:val="en-US"/>
              </w:rPr>
              <w:t>олнено/</w:t>
            </w:r>
          </w:p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выполнено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выполнено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выполнено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11" w:type="dxa"/>
            </w:tcMar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выполнено</w:t>
            </w:r>
          </w:p>
        </w:tc>
        <w:tc>
          <w:tcPr>
            <w:tcW w:w="9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85" w:hRule="atLeast"/>
        </w:trPr>
        <w:tc>
          <w:tcPr>
            <w:tcW w:w="1333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 Подпрограмма муниципальной программы «Повышение безопасности дорожного движения в городе Кирсанове»</w:t>
            </w:r>
          </w:p>
        </w:tc>
      </w:tr>
      <w:tr>
        <w:trPr>
          <w:trHeight w:val="542" w:hRule="atLeast"/>
        </w:trPr>
        <w:tc>
          <w:tcPr>
            <w:tcW w:w="1333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 Задача подпрограммы: повышение правосознания и ответственности участников дорожного движения, развитие современной системы оказания помощи пострадавшим в дорожно-транспортных происшествиях</w:t>
            </w:r>
          </w:p>
        </w:tc>
      </w:tr>
      <w:tr>
        <w:trPr>
          <w:trHeight w:val="870" w:hRule="atLeast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3.1.1.</w:t>
            </w:r>
          </w:p>
        </w:tc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Транспортный и социальный риск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погибших в дорожно-транспортных происшествиях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11" w:type="dxa"/>
            </w:tcMar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259" w:hRule="atLeast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  <w:lang w:val="en-US"/>
              </w:rPr>
              <w:t>/</w:t>
            </w:r>
            <w:r>
              <w:rPr>
                <w:sz w:val="24"/>
                <w:szCs w:val="24"/>
              </w:rPr>
              <w:t>п</w:t>
            </w:r>
          </w:p>
        </w:tc>
        <w:tc>
          <w:tcPr>
            <w:tcW w:w="25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Показатель (индикатор) (наименование) программы, подпрограммы</w:t>
            </w:r>
          </w:p>
        </w:tc>
        <w:tc>
          <w:tcPr>
            <w:tcW w:w="13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Единица</w:t>
            </w:r>
          </w:p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измерения</w:t>
            </w:r>
          </w:p>
        </w:tc>
        <w:tc>
          <w:tcPr>
            <w:tcW w:w="894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Целевые показатели и индикаторы</w:t>
            </w:r>
          </w:p>
        </w:tc>
      </w:tr>
      <w:tr>
        <w:trPr>
          <w:trHeight w:val="365" w:hRule="atLeast"/>
        </w:trPr>
        <w:tc>
          <w:tcPr>
            <w:tcW w:w="5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5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31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894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Значение показателей</w:t>
            </w:r>
          </w:p>
        </w:tc>
      </w:tr>
      <w:tr>
        <w:trPr>
          <w:trHeight w:val="384" w:hRule="atLeast"/>
        </w:trPr>
        <w:tc>
          <w:tcPr>
            <w:tcW w:w="5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5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31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Базовый год (отчетный)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11" w:type="dxa"/>
            </w:tcMar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</w:p>
        </w:tc>
        <w:tc>
          <w:tcPr>
            <w:tcW w:w="9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75" w:hRule="atLeast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11" w:type="dxa"/>
            </w:tcMar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720" w:hRule="atLeast"/>
        </w:trPr>
        <w:tc>
          <w:tcPr>
            <w:tcW w:w="1333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11" w:type="dxa"/>
            </w:tcMar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3.2. Задача подпрограммы: предотвращение дорожно-транспортных происшествий, вероятность гибели людей в которых наиболее высока, снижение тяжести травм в дорожно-транспортных происшествиях</w:t>
            </w:r>
          </w:p>
        </w:tc>
      </w:tr>
      <w:tr>
        <w:trPr/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3.2.1.</w:t>
            </w:r>
          </w:p>
        </w:tc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мест концентрации ДТП на дорогах города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11" w:type="dxa"/>
            </w:tcMar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495" w:hRule="atLeast"/>
        </w:trPr>
        <w:tc>
          <w:tcPr>
            <w:tcW w:w="1333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11" w:type="dxa"/>
            </w:tcMar>
            <w:vAlign w:val="center"/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3.3. Задача подпрограммы: сокращение детского дорожно-транспортного травматизма</w:t>
            </w:r>
          </w:p>
        </w:tc>
      </w:tr>
      <w:tr>
        <w:trPr/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3.3.1.</w:t>
            </w:r>
          </w:p>
        </w:tc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образовательных учреждений, принявших участие в конкурсах</w:t>
            </w:r>
          </w:p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учреждений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11" w:type="dxa"/>
            </w:tcMar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99" w:hRule="atLeast"/>
        </w:trPr>
        <w:tc>
          <w:tcPr>
            <w:tcW w:w="1333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4. Подпрограмма муниципальной программы «Подготовка граждан к военной службе в городе Кирсанове»</w:t>
            </w:r>
          </w:p>
        </w:tc>
      </w:tr>
      <w:tr>
        <w:trPr>
          <w:trHeight w:val="405" w:hRule="atLeast"/>
        </w:trPr>
        <w:tc>
          <w:tcPr>
            <w:tcW w:w="1333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4.1. Задача подпрограммы: улучшение состояния здоровья допризывной молодёжи</w:t>
            </w:r>
          </w:p>
        </w:tc>
      </w:tr>
      <w:tr>
        <w:trPr/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4.1.1.</w:t>
            </w:r>
          </w:p>
        </w:tc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Доля граждан, по состоянию подлежащих призыву на военную службу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71,0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83,0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11" w:type="dxa"/>
            </w:tcMar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86,0</w:t>
            </w:r>
          </w:p>
        </w:tc>
        <w:tc>
          <w:tcPr>
            <w:tcW w:w="9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71" w:hRule="atLeast"/>
        </w:trPr>
        <w:tc>
          <w:tcPr>
            <w:tcW w:w="1333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4.2. Повышение уровня физической подготовленности допризывной молодёжи</w:t>
            </w:r>
          </w:p>
        </w:tc>
      </w:tr>
      <w:tr>
        <w:trPr/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4.2.1.</w:t>
            </w:r>
          </w:p>
        </w:tc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Доля граждан допризывного возраста, имеющих спортивные разряды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11" w:type="dxa"/>
            </w:tcMar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6,3</w:t>
            </w:r>
          </w:p>
        </w:tc>
        <w:tc>
          <w:tcPr>
            <w:tcW w:w="9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/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  <w:lang w:val="en-US"/>
              </w:rPr>
              <w:t>/</w:t>
            </w:r>
            <w:r>
              <w:rPr>
                <w:sz w:val="24"/>
                <w:szCs w:val="24"/>
              </w:rPr>
              <w:t>п</w:t>
            </w:r>
          </w:p>
        </w:tc>
        <w:tc>
          <w:tcPr>
            <w:tcW w:w="25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Показатель (индикатор) (наименование) программы, подпрограммы</w:t>
            </w:r>
          </w:p>
        </w:tc>
        <w:tc>
          <w:tcPr>
            <w:tcW w:w="13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Единица</w:t>
            </w:r>
          </w:p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измерения</w:t>
            </w:r>
          </w:p>
        </w:tc>
        <w:tc>
          <w:tcPr>
            <w:tcW w:w="894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Целевые показатели и индикаторы</w:t>
            </w:r>
          </w:p>
        </w:tc>
      </w:tr>
      <w:tr>
        <w:trPr/>
        <w:tc>
          <w:tcPr>
            <w:tcW w:w="5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5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31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894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Значение показателей</w:t>
            </w:r>
          </w:p>
        </w:tc>
      </w:tr>
      <w:tr>
        <w:trPr/>
        <w:tc>
          <w:tcPr>
            <w:tcW w:w="5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5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31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Базовый год (отчетный)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11" w:type="dxa"/>
            </w:tcMar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</w:p>
        </w:tc>
        <w:tc>
          <w:tcPr>
            <w:tcW w:w="9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29" w:hRule="atLeast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11" w:type="dxa"/>
            </w:tcMar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297" w:hRule="atLeast"/>
        </w:trPr>
        <w:tc>
          <w:tcPr>
            <w:tcW w:w="1333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11" w:type="dxa"/>
            </w:tcMar>
            <w:vAlign w:val="center"/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4.3. Совершенствование военно-патриотического воспитания граждан и повышение мотивации к военной службе</w:t>
            </w:r>
          </w:p>
        </w:tc>
      </w:tr>
      <w:tr>
        <w:trPr/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4.3.1.</w:t>
            </w:r>
          </w:p>
        </w:tc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Доля граждан доприз. возраста, обладающих положит. мотивацией к прохождению в/службы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64,0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69,0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11" w:type="dxa"/>
            </w:tcMar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72,0</w:t>
            </w:r>
          </w:p>
        </w:tc>
        <w:tc>
          <w:tcPr>
            <w:tcW w:w="9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/>
        <w:tc>
          <w:tcPr>
            <w:tcW w:w="1333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11" w:type="dxa"/>
            </w:tcMar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4.4. Совершенствование системы получения гражданами мужского пола начальных знаний в области обороны</w:t>
            </w:r>
          </w:p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их обучения по основам военной службы</w:t>
            </w:r>
          </w:p>
        </w:tc>
      </w:tr>
      <w:tr>
        <w:trPr/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4.4.1.</w:t>
            </w:r>
          </w:p>
        </w:tc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Доля учащихся 10 классов общеобразоват. учреждений, учащихся учреждений НПО,СПО, прошедших программу учебных сборов в полном объеме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95,6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95,6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96,5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11" w:type="dxa"/>
            </w:tcMar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97,5</w:t>
            </w:r>
          </w:p>
        </w:tc>
        <w:tc>
          <w:tcPr>
            <w:tcW w:w="9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</w:tbl>
    <w:p>
      <w:pPr>
        <w:pStyle w:val="NoSpacing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Spacing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Spacing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Spacing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Spacing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Spacing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Spacing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Spacing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Spacing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Spacing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Spacing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Spacing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Spacing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Spacing"/>
        <w:jc w:val="center"/>
        <w:rPr>
          <w:b/>
          <w:b/>
          <w:color w:val="000000"/>
          <w:szCs w:val="28"/>
        </w:rPr>
      </w:pPr>
      <w:r>
        <w:rPr>
          <w:b/>
          <w:color w:val="000000"/>
          <w:szCs w:val="28"/>
        </w:rPr>
        <w:t>ПЕРЕЧЕНЬ</w:t>
      </w:r>
    </w:p>
    <w:p>
      <w:pPr>
        <w:pStyle w:val="NoSpacing"/>
        <w:jc w:val="center"/>
        <w:rPr>
          <w:b/>
          <w:b/>
          <w:color w:val="000000"/>
          <w:szCs w:val="28"/>
        </w:rPr>
      </w:pPr>
      <w:r>
        <w:rPr>
          <w:b/>
          <w:color w:val="000000"/>
          <w:szCs w:val="28"/>
        </w:rPr>
        <w:t>показателей (индикаторов) муниципальной программы «Обеспечение безопасности населения</w:t>
      </w:r>
    </w:p>
    <w:p>
      <w:pPr>
        <w:pStyle w:val="NoSpacing"/>
        <w:jc w:val="center"/>
        <w:rPr>
          <w:b/>
          <w:b/>
          <w:color w:val="000000"/>
          <w:szCs w:val="28"/>
        </w:rPr>
      </w:pPr>
      <w:r>
        <w:rPr>
          <w:b/>
          <w:color w:val="000000"/>
          <w:szCs w:val="28"/>
        </w:rPr>
        <w:t>города Кирсанова Тамбовской области и противодействие преступности на 2015-2030 годы», 2 этап реализации (2023 -2030)</w:t>
      </w:r>
    </w:p>
    <w:p>
      <w:pPr>
        <w:pStyle w:val="NoSpacing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Spacing"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W w:w="13336" w:type="dxa"/>
        <w:jc w:val="left"/>
        <w:tblInd w:w="6" w:type="dxa"/>
        <w:tblLayout w:type="fixed"/>
        <w:tblCellMar>
          <w:top w:w="0" w:type="dxa"/>
          <w:left w:w="11" w:type="dxa"/>
          <w:bottom w:w="0" w:type="dxa"/>
          <w:right w:w="0" w:type="dxa"/>
        </w:tblCellMar>
        <w:tblLook w:firstRow="0" w:noVBand="0" w:lastRow="0" w:firstColumn="0" w:lastColumn="0" w:noHBand="0" w:val="0000"/>
      </w:tblPr>
      <w:tblGrid>
        <w:gridCol w:w="568"/>
        <w:gridCol w:w="2509"/>
        <w:gridCol w:w="1318"/>
        <w:gridCol w:w="1275"/>
        <w:gridCol w:w="852"/>
        <w:gridCol w:w="850"/>
        <w:gridCol w:w="992"/>
        <w:gridCol w:w="992"/>
        <w:gridCol w:w="992"/>
        <w:gridCol w:w="994"/>
        <w:gridCol w:w="992"/>
        <w:gridCol w:w="992"/>
        <w:gridCol w:w="9"/>
      </w:tblGrid>
      <w:tr>
        <w:trPr/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  <w:lang w:val="en-US"/>
              </w:rPr>
              <w:t>/</w:t>
            </w:r>
            <w:r>
              <w:rPr>
                <w:sz w:val="24"/>
                <w:szCs w:val="24"/>
              </w:rPr>
              <w:t>п</w:t>
            </w:r>
          </w:p>
        </w:tc>
        <w:tc>
          <w:tcPr>
            <w:tcW w:w="25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Показатель (индикатор) (наименование) программы, подпрограммы</w:t>
            </w:r>
          </w:p>
        </w:tc>
        <w:tc>
          <w:tcPr>
            <w:tcW w:w="13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Единица</w:t>
            </w:r>
          </w:p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измерения</w:t>
            </w:r>
          </w:p>
        </w:tc>
        <w:tc>
          <w:tcPr>
            <w:tcW w:w="894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11" w:type="dxa"/>
            </w:tcMar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Целевые показатели и индикаторы</w:t>
            </w:r>
          </w:p>
        </w:tc>
      </w:tr>
      <w:tr>
        <w:trPr/>
        <w:tc>
          <w:tcPr>
            <w:tcW w:w="5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5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31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894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11" w:type="dxa"/>
            </w:tcMar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Значение показателей</w:t>
            </w:r>
          </w:p>
        </w:tc>
      </w:tr>
      <w:tr>
        <w:trPr/>
        <w:tc>
          <w:tcPr>
            <w:tcW w:w="5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5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31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Базовый год (отчетный)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11" w:type="dxa"/>
            </w:tcMar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2030</w:t>
            </w:r>
          </w:p>
        </w:tc>
        <w:tc>
          <w:tcPr>
            <w:tcW w:w="9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/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11" w:type="dxa"/>
            </w:tcMar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945" w:hRule="atLeast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Зарегистрированные преступления (всего)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преступлений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258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243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11" w:type="dxa"/>
            </w:tcMar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243</w:t>
            </w:r>
          </w:p>
        </w:tc>
        <w:tc>
          <w:tcPr>
            <w:tcW w:w="9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/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Недопущение совершения террористических актов, снижение рисков совершения террористич. актов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выполнено/ не выполнено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выполнено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выполнено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11" w:type="dxa"/>
            </w:tcMar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выполнено</w:t>
            </w:r>
          </w:p>
        </w:tc>
        <w:tc>
          <w:tcPr>
            <w:tcW w:w="9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/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погибших и пострадавших в дорожно-транспортных происшествиях на дорогах города</w:t>
            </w:r>
          </w:p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11" w:type="dxa"/>
            </w:tcMar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/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  <w:lang w:val="en-US"/>
              </w:rPr>
              <w:t>/</w:t>
            </w:r>
            <w:r>
              <w:rPr>
                <w:sz w:val="24"/>
                <w:szCs w:val="24"/>
              </w:rPr>
              <w:t>п</w:t>
            </w:r>
          </w:p>
        </w:tc>
        <w:tc>
          <w:tcPr>
            <w:tcW w:w="25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Показатель (индикатор) (наименование) программы, подпрограммы</w:t>
            </w:r>
          </w:p>
        </w:tc>
        <w:tc>
          <w:tcPr>
            <w:tcW w:w="13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Единица</w:t>
            </w:r>
          </w:p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измерения</w:t>
            </w:r>
          </w:p>
        </w:tc>
        <w:tc>
          <w:tcPr>
            <w:tcW w:w="894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Целевые показатели и индикаторы</w:t>
            </w:r>
          </w:p>
        </w:tc>
      </w:tr>
      <w:tr>
        <w:trPr/>
        <w:tc>
          <w:tcPr>
            <w:tcW w:w="5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5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31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894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Значение показателей</w:t>
            </w:r>
          </w:p>
        </w:tc>
      </w:tr>
      <w:tr>
        <w:trPr/>
        <w:tc>
          <w:tcPr>
            <w:tcW w:w="5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5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31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Базовый год (отчетный)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11" w:type="dxa"/>
            </w:tcMar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</w:p>
        </w:tc>
        <w:tc>
          <w:tcPr>
            <w:tcW w:w="9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/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11" w:type="dxa"/>
            </w:tcMar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/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4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плана призыва граждан на военную службу, установленную Министерством обороны Российской Федерации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%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11" w:type="dxa"/>
            </w:tcMar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/>
        <w:tc>
          <w:tcPr>
            <w:tcW w:w="1333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11" w:type="dxa"/>
            </w:tcMar>
          </w:tcPr>
          <w:p>
            <w:pPr>
              <w:pStyle w:val="NoSpacing"/>
              <w:widowControl w:val="false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 Подпрограмма муниципальной программы</w:t>
            </w:r>
          </w:p>
          <w:p>
            <w:pPr>
              <w:pStyle w:val="NoSpacing"/>
              <w:widowControl w:val="false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«Обеспечение общественного порядка и противодействие преступности в городе Кирсанове»</w:t>
            </w:r>
          </w:p>
        </w:tc>
      </w:tr>
      <w:tr>
        <w:trPr>
          <w:trHeight w:val="390" w:hRule="atLeast"/>
        </w:trPr>
        <w:tc>
          <w:tcPr>
            <w:tcW w:w="1333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11" w:type="dxa"/>
            </w:tcMar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 Задача подпрограммы: снижение уровня правонарушений в городе</w:t>
            </w:r>
          </w:p>
        </w:tc>
      </w:tr>
      <w:tr>
        <w:trPr/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1.1.1.</w:t>
            </w:r>
          </w:p>
        </w:tc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Преступления, совершенные несовершеннолетними или при их соучастии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преступлений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11" w:type="dxa"/>
            </w:tcMar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654" w:hRule="atLeast"/>
        </w:trPr>
        <w:tc>
          <w:tcPr>
            <w:tcW w:w="1333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11" w:type="dxa"/>
            </w:tcMar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 Задача подпрограммы: ресоциализация лиц, освободившихся из мест лишения свободы,</w:t>
            </w:r>
          </w:p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 также обеспечение исполнения уголовных наказаний, не связанных с лишением свободы</w:t>
            </w:r>
          </w:p>
        </w:tc>
      </w:tr>
      <w:tr>
        <w:trPr/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1.2.1.</w:t>
            </w:r>
          </w:p>
        </w:tc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Преступления, совершенные лицами, ранее их совершавшими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преступлений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11" w:type="dxa"/>
            </w:tcMar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9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/>
        <w:tc>
          <w:tcPr>
            <w:tcW w:w="1333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1.3. Задача подпрограммы: обеспечение безопасности граждан на улицах и в других общественных местах</w:t>
            </w:r>
          </w:p>
        </w:tc>
      </w:tr>
      <w:tr>
        <w:trPr/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1.3.1.</w:t>
            </w:r>
          </w:p>
        </w:tc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Объекты, оборудованные системами видеонаблюдения</w:t>
            </w:r>
          </w:p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учреждений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11" w:type="dxa"/>
            </w:tcMar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9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/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  <w:lang w:val="en-US"/>
              </w:rPr>
              <w:t>/</w:t>
            </w:r>
            <w:r>
              <w:rPr>
                <w:sz w:val="24"/>
                <w:szCs w:val="24"/>
              </w:rPr>
              <w:t>п</w:t>
            </w:r>
          </w:p>
        </w:tc>
        <w:tc>
          <w:tcPr>
            <w:tcW w:w="25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Показатель (индикатор) (наименование) программы, подпрограммы</w:t>
            </w:r>
          </w:p>
        </w:tc>
        <w:tc>
          <w:tcPr>
            <w:tcW w:w="13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Единица</w:t>
            </w:r>
          </w:p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измерения</w:t>
            </w:r>
          </w:p>
        </w:tc>
        <w:tc>
          <w:tcPr>
            <w:tcW w:w="894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Целевые показатели и индикаторы</w:t>
            </w:r>
          </w:p>
        </w:tc>
      </w:tr>
      <w:tr>
        <w:trPr/>
        <w:tc>
          <w:tcPr>
            <w:tcW w:w="5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5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31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894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Значение показателей</w:t>
            </w:r>
          </w:p>
        </w:tc>
      </w:tr>
      <w:tr>
        <w:trPr/>
        <w:tc>
          <w:tcPr>
            <w:tcW w:w="5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5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31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Базовый год (отчетный)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11" w:type="dxa"/>
            </w:tcMar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2030</w:t>
            </w:r>
          </w:p>
        </w:tc>
        <w:tc>
          <w:tcPr>
            <w:tcW w:w="9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/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11" w:type="dxa"/>
            </w:tcMar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454" w:hRule="atLeast"/>
        </w:trPr>
        <w:tc>
          <w:tcPr>
            <w:tcW w:w="1333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11" w:type="dxa"/>
            </w:tcMar>
          </w:tcPr>
          <w:p>
            <w:pPr>
              <w:pStyle w:val="NoSpacing"/>
              <w:widowControl w:val="false"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2. Подпрограмма муниципальной программы «Противодействие терроризму и экстремизму в городе Кирсанове»</w:t>
            </w:r>
          </w:p>
        </w:tc>
      </w:tr>
      <w:tr>
        <w:trPr>
          <w:trHeight w:val="688" w:hRule="atLeast"/>
        </w:trPr>
        <w:tc>
          <w:tcPr>
            <w:tcW w:w="1333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11" w:type="dxa"/>
            </w:tcMar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 Задача подпрограммы: совершенствование систем технической защиты потенциально опасных объектов,</w:t>
            </w:r>
          </w:p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 массового пребывания людей и объектов жизнеобеспечения, находящихся в собственности или в ведении администрации города</w:t>
            </w:r>
          </w:p>
        </w:tc>
      </w:tr>
      <w:tr>
        <w:trPr/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2.1.1.</w:t>
            </w:r>
          </w:p>
        </w:tc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муниципальных учреждений, оборудованных системой видеонаблюдения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11" w:type="dxa"/>
            </w:tcMar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9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410" w:hRule="atLeast"/>
        </w:trPr>
        <w:tc>
          <w:tcPr>
            <w:tcW w:w="1333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11" w:type="dxa"/>
            </w:tcMar>
            <w:vAlign w:val="center"/>
          </w:tcPr>
          <w:p>
            <w:pPr>
              <w:pStyle w:val="NoSpacing"/>
              <w:widowControl w:val="false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2.2. Задача подпрограммы: обеспечение антитеррористической деятельности в городе</w:t>
            </w:r>
          </w:p>
        </w:tc>
      </w:tr>
      <w:tr>
        <w:trPr>
          <w:trHeight w:val="870" w:hRule="atLeast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2.2.1.</w:t>
            </w:r>
          </w:p>
        </w:tc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Недопущение террористических акций на территории города</w:t>
            </w:r>
          </w:p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</w:t>
            </w:r>
            <w:r>
              <w:rPr>
                <w:sz w:val="24"/>
                <w:szCs w:val="24"/>
                <w:lang w:val="en-US"/>
              </w:rPr>
              <w:t>олнено/</w:t>
            </w:r>
          </w:p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выполнено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выполнено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выполнено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11" w:type="dxa"/>
            </w:tcMar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выполнено</w:t>
            </w:r>
          </w:p>
        </w:tc>
        <w:tc>
          <w:tcPr>
            <w:tcW w:w="9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85" w:hRule="atLeast"/>
        </w:trPr>
        <w:tc>
          <w:tcPr>
            <w:tcW w:w="1333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 Подпрограмма муниципальной программы «Повышение безопасности дорожного движения в городе Кирсанове»</w:t>
            </w:r>
          </w:p>
        </w:tc>
      </w:tr>
      <w:tr>
        <w:trPr>
          <w:trHeight w:val="542" w:hRule="atLeast"/>
        </w:trPr>
        <w:tc>
          <w:tcPr>
            <w:tcW w:w="1333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 Задача подпрограммы: повышение правосознания и ответственности участников дорожного движения, развитие современной системы оказания помощи пострадавшим в дорожно-транспортных происшествиях</w:t>
            </w:r>
          </w:p>
        </w:tc>
      </w:tr>
      <w:tr>
        <w:trPr>
          <w:trHeight w:val="870" w:hRule="atLeast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3.1.1.</w:t>
            </w:r>
          </w:p>
        </w:tc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Транспортный и социальный риск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погибших в дорожно-транспортных происшествиях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11" w:type="dxa"/>
            </w:tcMar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259" w:hRule="atLeast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  <w:lang w:val="en-US"/>
              </w:rPr>
              <w:t>/</w:t>
            </w:r>
            <w:r>
              <w:rPr>
                <w:sz w:val="24"/>
                <w:szCs w:val="24"/>
              </w:rPr>
              <w:t>п</w:t>
            </w:r>
          </w:p>
        </w:tc>
        <w:tc>
          <w:tcPr>
            <w:tcW w:w="25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Показатель (индикатор) (наименование) программы, подпрограммы</w:t>
            </w:r>
          </w:p>
        </w:tc>
        <w:tc>
          <w:tcPr>
            <w:tcW w:w="13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Единица</w:t>
            </w:r>
          </w:p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измерения</w:t>
            </w:r>
          </w:p>
        </w:tc>
        <w:tc>
          <w:tcPr>
            <w:tcW w:w="894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Целевые показатели и индикаторы</w:t>
            </w:r>
          </w:p>
        </w:tc>
      </w:tr>
      <w:tr>
        <w:trPr>
          <w:trHeight w:val="365" w:hRule="atLeast"/>
        </w:trPr>
        <w:tc>
          <w:tcPr>
            <w:tcW w:w="5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5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31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894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Значение показателей</w:t>
            </w:r>
          </w:p>
        </w:tc>
      </w:tr>
      <w:tr>
        <w:trPr>
          <w:trHeight w:val="384" w:hRule="atLeast"/>
        </w:trPr>
        <w:tc>
          <w:tcPr>
            <w:tcW w:w="5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5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31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Базовый год (отчетный)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11" w:type="dxa"/>
            </w:tcMar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2030</w:t>
            </w:r>
          </w:p>
        </w:tc>
        <w:tc>
          <w:tcPr>
            <w:tcW w:w="9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75" w:hRule="atLeast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11" w:type="dxa"/>
            </w:tcMar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720" w:hRule="atLeast"/>
        </w:trPr>
        <w:tc>
          <w:tcPr>
            <w:tcW w:w="1333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11" w:type="dxa"/>
            </w:tcMar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3.2. Задача подпрограммы: предотвращение дорожно-транспортных происшествий, вероятность гибели людей в которых наиболее высока, снижение тяжести травм в дорожно-транспортных происшествиях</w:t>
            </w:r>
          </w:p>
        </w:tc>
      </w:tr>
      <w:tr>
        <w:trPr/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3.2.1.</w:t>
            </w:r>
          </w:p>
        </w:tc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мест концентрации ДТП на дорогах города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11" w:type="dxa"/>
            </w:tcMar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495" w:hRule="atLeast"/>
        </w:trPr>
        <w:tc>
          <w:tcPr>
            <w:tcW w:w="1333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11" w:type="dxa"/>
            </w:tcMar>
            <w:vAlign w:val="center"/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3.3. Задача подпрограммы: сокращение детского дорожно-транспортного травматизма</w:t>
            </w:r>
          </w:p>
        </w:tc>
      </w:tr>
      <w:tr>
        <w:trPr/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3.3.1.</w:t>
            </w:r>
          </w:p>
        </w:tc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образовательных учреждений, принявших участие в конкурсах</w:t>
            </w:r>
          </w:p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учреждений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11" w:type="dxa"/>
            </w:tcMar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99" w:hRule="atLeast"/>
        </w:trPr>
        <w:tc>
          <w:tcPr>
            <w:tcW w:w="1333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4. Подпрограмма муниципальной программы «Подготовка граждан к военной службе в городе Кирсанове»</w:t>
            </w:r>
          </w:p>
        </w:tc>
      </w:tr>
      <w:tr>
        <w:trPr>
          <w:trHeight w:val="405" w:hRule="atLeast"/>
        </w:trPr>
        <w:tc>
          <w:tcPr>
            <w:tcW w:w="1333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4.1. Задача подпрограммы: улучшение состояния здоровья допризывной молодёжи</w:t>
            </w:r>
          </w:p>
        </w:tc>
      </w:tr>
      <w:tr>
        <w:trPr/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4.1.1.</w:t>
            </w:r>
          </w:p>
        </w:tc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Доля граждан, по состоянию подлежащих призыву на военную службу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87,0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88,0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88,0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88,0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88,0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88,0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11" w:type="dxa"/>
            </w:tcMar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88,0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88,0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88,0</w:t>
            </w:r>
          </w:p>
        </w:tc>
        <w:tc>
          <w:tcPr>
            <w:tcW w:w="9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71" w:hRule="atLeast"/>
        </w:trPr>
        <w:tc>
          <w:tcPr>
            <w:tcW w:w="1333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4.2. Повышение уровня физической подготовленности допризывной молодёжи</w:t>
            </w:r>
          </w:p>
        </w:tc>
      </w:tr>
      <w:tr>
        <w:trPr/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4.2.1.</w:t>
            </w:r>
          </w:p>
        </w:tc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Доля граждан допризывного возраста, имеющих спортивные разряды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6,5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11" w:type="dxa"/>
            </w:tcMar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6,5</w:t>
            </w:r>
          </w:p>
        </w:tc>
        <w:tc>
          <w:tcPr>
            <w:tcW w:w="9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/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  <w:lang w:val="en-US"/>
              </w:rPr>
              <w:t>/</w:t>
            </w:r>
            <w:r>
              <w:rPr>
                <w:sz w:val="24"/>
                <w:szCs w:val="24"/>
              </w:rPr>
              <w:t>п</w:t>
            </w:r>
          </w:p>
        </w:tc>
        <w:tc>
          <w:tcPr>
            <w:tcW w:w="25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Показатель (индикатор) (наименование) программы, подпрограммы</w:t>
            </w:r>
          </w:p>
        </w:tc>
        <w:tc>
          <w:tcPr>
            <w:tcW w:w="13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Единица</w:t>
            </w:r>
          </w:p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измерения</w:t>
            </w:r>
          </w:p>
        </w:tc>
        <w:tc>
          <w:tcPr>
            <w:tcW w:w="894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Целевые показатели и индикаторы</w:t>
            </w:r>
          </w:p>
        </w:tc>
      </w:tr>
      <w:tr>
        <w:trPr/>
        <w:tc>
          <w:tcPr>
            <w:tcW w:w="5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5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31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894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Значение показателей</w:t>
            </w:r>
          </w:p>
        </w:tc>
      </w:tr>
      <w:tr>
        <w:trPr/>
        <w:tc>
          <w:tcPr>
            <w:tcW w:w="5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5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31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Базовый год (отчетный)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11" w:type="dxa"/>
            </w:tcMar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2030</w:t>
            </w:r>
          </w:p>
        </w:tc>
        <w:tc>
          <w:tcPr>
            <w:tcW w:w="9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29" w:hRule="atLeast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11" w:type="dxa"/>
            </w:tcMar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297" w:hRule="atLeast"/>
        </w:trPr>
        <w:tc>
          <w:tcPr>
            <w:tcW w:w="1333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11" w:type="dxa"/>
            </w:tcMar>
            <w:vAlign w:val="center"/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4.3. Совершенствование военно-патриотического воспитания граждан и повышение мотивации к военной службе</w:t>
            </w:r>
          </w:p>
        </w:tc>
      </w:tr>
      <w:tr>
        <w:trPr/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4.3.1.</w:t>
            </w:r>
          </w:p>
        </w:tc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Доля граждан доприз. возраста, обладающих положит. мотивацией к прохождению в/службы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73,0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74,0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11" w:type="dxa"/>
            </w:tcMar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74,0</w:t>
            </w:r>
          </w:p>
        </w:tc>
        <w:tc>
          <w:tcPr>
            <w:tcW w:w="9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/>
        <w:tc>
          <w:tcPr>
            <w:tcW w:w="1333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11" w:type="dxa"/>
            </w:tcMar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4.4. Совершенствование системы получения гражданами мужского пола начальных знаний в области обороны</w:t>
            </w:r>
          </w:p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их обучения по основам военной службы</w:t>
            </w:r>
          </w:p>
        </w:tc>
      </w:tr>
      <w:tr>
        <w:trPr/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4.4.1.</w:t>
            </w:r>
          </w:p>
        </w:tc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Доля учащихся 10 классов общеобразоват. учреждений, учащихся учреждений НПО,СПО, прошедших программу учебных сборов в полном объеме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97,7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98,0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11" w:type="dxa"/>
            </w:tcMar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98,0</w:t>
            </w:r>
          </w:p>
        </w:tc>
        <w:tc>
          <w:tcPr>
            <w:tcW w:w="9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/>
        <w:tc>
          <w:tcPr>
            <w:tcW w:w="1333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5. «Прочие основные мероприятия муниципальной программы, не вошедшие в подпрограммы в городе Кирсанове»</w:t>
            </w:r>
          </w:p>
        </w:tc>
      </w:tr>
      <w:tr>
        <w:trPr/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5.1</w:t>
            </w:r>
          </w:p>
        </w:tc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Приобретение конвертов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11" w:type="dxa"/>
            </w:tcMar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Spacing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" w:type="dxa"/>
            <w:tcBorders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</w:tbl>
    <w:p>
      <w:pPr>
        <w:pStyle w:val="NoSpacing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Spacing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Spacing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Spacing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Spacing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Spacing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Spacing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Spacing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Spacing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Spacing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Spacing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Spacing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Spacing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Spacing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Spacing"/>
        <w:ind w:left="8496" w:firstLine="708"/>
        <w:rPr>
          <w:szCs w:val="28"/>
        </w:rPr>
      </w:pPr>
      <w:r>
        <w:rPr>
          <w:szCs w:val="28"/>
        </w:rPr>
        <w:t>ПРИЛОЖЕНИЕ №2</w:t>
      </w:r>
    </w:p>
    <w:p>
      <w:pPr>
        <w:pStyle w:val="NoSpacing"/>
        <w:rPr>
          <w:szCs w:val="28"/>
        </w:rPr>
      </w:pPr>
      <w:r>
        <w:rPr>
          <w:szCs w:val="28"/>
        </w:rPr>
        <w:tab/>
        <w:tab/>
        <w:tab/>
        <w:tab/>
        <w:tab/>
        <w:tab/>
        <w:tab/>
        <w:tab/>
        <w:tab/>
        <w:tab/>
        <w:t xml:space="preserve">к муниципальной программе «Обеспечение безопасности </w:t>
        <w:tab/>
        <w:tab/>
        <w:tab/>
        <w:tab/>
        <w:tab/>
        <w:tab/>
        <w:tab/>
        <w:tab/>
        <w:tab/>
        <w:tab/>
        <w:tab/>
        <w:tab/>
        <w:t xml:space="preserve">населения города Кирсанова Тамбовской области и </w:t>
        <w:tab/>
        <w:tab/>
        <w:tab/>
        <w:tab/>
        <w:tab/>
        <w:tab/>
        <w:tab/>
        <w:tab/>
        <w:tab/>
        <w:tab/>
        <w:tab/>
        <w:tab/>
        <w:tab/>
        <w:t xml:space="preserve">противодействие </w:t>
        <w:tab/>
        <w:t>преступности на 2015-2030 годы»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/>
          <w:szCs w:val="28"/>
        </w:rPr>
      </w:pPr>
      <w:r>
        <w:rPr>
          <w:rFonts w:cs="Times New Roman" w:ascii="Times New Roman" w:hAnsi="Times New Roman"/>
          <w:b/>
          <w:szCs w:val="28"/>
        </w:rPr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Перечень мероприятий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муниципальной программы «Обеспечение безопасности населения города Кирсанова Тамбовской области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и противодействие преступности на 2015-2030 годы»  1 этап реализации (2015-2022)</w:t>
      </w:r>
    </w:p>
    <w:p>
      <w:pPr>
        <w:pStyle w:val="Normal"/>
        <w:spacing w:before="10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tbl>
      <w:tblPr>
        <w:tblW w:w="15461" w:type="dxa"/>
        <w:jc w:val="left"/>
        <w:tblInd w:w="-606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567"/>
        <w:gridCol w:w="2693"/>
        <w:gridCol w:w="105"/>
        <w:gridCol w:w="2589"/>
        <w:gridCol w:w="425"/>
        <w:gridCol w:w="1133"/>
        <w:gridCol w:w="6"/>
        <w:gridCol w:w="136"/>
        <w:gridCol w:w="710"/>
        <w:gridCol w:w="142"/>
        <w:gridCol w:w="566"/>
        <w:gridCol w:w="57"/>
        <w:gridCol w:w="74"/>
        <w:gridCol w:w="11"/>
        <w:gridCol w:w="851"/>
        <w:gridCol w:w="142"/>
        <w:gridCol w:w="991"/>
        <w:gridCol w:w="992"/>
        <w:gridCol w:w="1134"/>
        <w:gridCol w:w="1135"/>
        <w:gridCol w:w="1001"/>
      </w:tblGrid>
      <w:tr>
        <w:trPr/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№</w:t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п/п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Наименование подпрограммы, основного мероприятия, мероприятия</w:t>
            </w:r>
          </w:p>
        </w:tc>
        <w:tc>
          <w:tcPr>
            <w:tcW w:w="311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Ответственный исполнитель, соисполнители</w:t>
            </w:r>
          </w:p>
        </w:tc>
        <w:tc>
          <w:tcPr>
            <w:tcW w:w="382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Ожидаемые непосредственные результаты</w:t>
            </w:r>
          </w:p>
        </w:tc>
        <w:tc>
          <w:tcPr>
            <w:tcW w:w="525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Объемы финансирования, тыс. рублей, в т.ч.</w:t>
            </w:r>
          </w:p>
        </w:tc>
      </w:tr>
      <w:tr>
        <w:trPr>
          <w:trHeight w:val="1017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1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наименование</w:t>
            </w:r>
          </w:p>
        </w:tc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единица изме-рения</w:t>
            </w:r>
          </w:p>
        </w:tc>
        <w:tc>
          <w:tcPr>
            <w:tcW w:w="17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значение (по годам реализации мероприятия)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по годам, всего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федера-льный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Тамбовской области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города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ind w:left="-108" w:right="-108"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внебюд-жетные средства</w:t>
            </w:r>
          </w:p>
        </w:tc>
      </w:tr>
      <w:tr>
        <w:trPr>
          <w:trHeight w:val="275" w:hRule="atLeas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3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</w:t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</w:t>
            </w:r>
          </w:p>
        </w:tc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</w:t>
            </w:r>
          </w:p>
        </w:tc>
        <w:tc>
          <w:tcPr>
            <w:tcW w:w="17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6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9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11</w:t>
            </w:r>
          </w:p>
        </w:tc>
      </w:tr>
      <w:tr>
        <w:trPr>
          <w:trHeight w:val="520" w:hRule="atLeast"/>
        </w:trPr>
        <w:tc>
          <w:tcPr>
            <w:tcW w:w="15460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1. Подпрограмма «Обеспечение общественного порядка и противодействие преступности в городе Кирсанове»</w:t>
            </w:r>
          </w:p>
        </w:tc>
      </w:tr>
      <w:tr>
        <w:trPr>
          <w:trHeight w:val="344" w:hRule="atLeast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ind w:right="-108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1.1.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Оборудование мест массового пребывания граждан средствами видеонаблюдения (приобретение комплектующих устройств для работы системы видеонаблюдения)</w:t>
            </w:r>
          </w:p>
        </w:tc>
        <w:tc>
          <w:tcPr>
            <w:tcW w:w="311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ГО, ЧС и ОБ администрации города</w:t>
            </w:r>
          </w:p>
        </w:tc>
        <w:tc>
          <w:tcPr>
            <w:tcW w:w="127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Количество объектов, оборудо-ванных системами видеонаблюдения</w:t>
            </w:r>
          </w:p>
        </w:tc>
        <w:tc>
          <w:tcPr>
            <w:tcW w:w="85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шт.</w:t>
            </w:r>
          </w:p>
        </w:tc>
        <w:tc>
          <w:tcPr>
            <w:tcW w:w="7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2015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99,85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99,85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349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ind w:right="-108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1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5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2016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180,0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180,0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13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ind w:right="-108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1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5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2017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85,6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85,6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17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ind w:right="-108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1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5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2018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14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205,0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323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ind w:right="-108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1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5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2019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15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46,6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46,6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06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ind w:right="-108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1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5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15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18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ind w:right="-108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1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5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16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11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ind w:right="-108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1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5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2022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16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40,0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277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ind w:right="-108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1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5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Итого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657,05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657,05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>
          <w:trHeight w:val="424" w:hRule="atLeast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ind w:right="-108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1.2.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Поддержание в рабочем состоянии средств видеонаблюдения на территории города (мелкий ремонт, техническое обслуживание, закупка запасных частей и т.п.)</w:t>
            </w:r>
          </w:p>
        </w:tc>
        <w:tc>
          <w:tcPr>
            <w:tcW w:w="311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ГО, ЧС и ОБ администрации города</w:t>
            </w:r>
          </w:p>
        </w:tc>
        <w:tc>
          <w:tcPr>
            <w:tcW w:w="127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Количество объектов, оборудо-ванных системами видео-наблюде-ния</w:t>
            </w:r>
          </w:p>
        </w:tc>
        <w:tc>
          <w:tcPr>
            <w:tcW w:w="85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шт.</w:t>
            </w:r>
          </w:p>
        </w:tc>
        <w:tc>
          <w:tcPr>
            <w:tcW w:w="7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2015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17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ind w:right="-108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1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5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2016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09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ind w:right="-108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1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5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2017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21,4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21,4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14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ind w:right="-108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1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5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2018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14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13,5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13,5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20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ind w:right="-108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1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5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2019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15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13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ind w:right="-108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1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5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15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18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ind w:right="-108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1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5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16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24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ind w:right="-108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1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5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2022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16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41,3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41,3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557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ind w:right="-108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1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5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Итого</w:t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76,2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76,2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>
          <w:trHeight w:val="416" w:hRule="atLeast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ind w:right="-108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1.3.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Изготовление агитационного материала по профилактике мошенничества</w:t>
            </w:r>
          </w:p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1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ГО, ЧС и ОБ администрации города</w:t>
            </w:r>
          </w:p>
        </w:tc>
        <w:tc>
          <w:tcPr>
            <w:tcW w:w="127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Зарегистрированные преступления (всего)</w:t>
            </w:r>
          </w:p>
        </w:tc>
        <w:tc>
          <w:tcPr>
            <w:tcW w:w="85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Количество преступлений</w:t>
            </w:r>
          </w:p>
        </w:tc>
        <w:tc>
          <w:tcPr>
            <w:tcW w:w="7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2015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256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08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ind w:right="-108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1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5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2016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254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27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ind w:right="-108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1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5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2017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250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3,0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04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ind w:right="-108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1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5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2018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249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25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ind w:right="-108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1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5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2019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248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11,0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11,0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17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ind w:right="-108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1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5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247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4,0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08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ind w:right="-108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1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5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246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14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ind w:right="-108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1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5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2022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245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574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ind w:right="-108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1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5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Итого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18,0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7,0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>
          <w:trHeight w:val="412" w:hRule="atLeast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Итого по подпрограмме</w:t>
            </w:r>
          </w:p>
        </w:tc>
        <w:tc>
          <w:tcPr>
            <w:tcW w:w="311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127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85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7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2015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99,85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99,85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>
          <w:trHeight w:val="418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ind w:right="-108" w:hanging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1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5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2016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180,0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180,0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>
          <w:trHeight w:val="425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ind w:right="-108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1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5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2017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110,0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110,0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>
          <w:trHeight w:val="403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ind w:right="-108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1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5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2018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218,5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218,5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>
          <w:trHeight w:val="424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ind w:right="-108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1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5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2019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57,6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b/>
                <w:color w:val="000000"/>
              </w:rPr>
              <w:t>57,6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>
          <w:trHeight w:val="416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ind w:right="-108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1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5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2020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4,0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4,0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>
          <w:trHeight w:val="407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ind w:right="-108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1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5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2021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>
          <w:trHeight w:val="413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ind w:right="-108" w:hanging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1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5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2022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81,3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81,3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>
          <w:trHeight w:val="480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ind w:right="-108" w:hanging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1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5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Итого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751,25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751,25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>
          <w:trHeight w:val="403" w:hRule="atLeast"/>
        </w:trPr>
        <w:tc>
          <w:tcPr>
            <w:tcW w:w="15460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2. Подпрограмма «Противодействие терроризму и экстремизму в городе Кирсанове»</w:t>
            </w:r>
          </w:p>
        </w:tc>
      </w:tr>
      <w:tr>
        <w:trPr>
          <w:trHeight w:val="354" w:hRule="atLeast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2.1.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Оснащение системой видеонаблюдения муниципальных учреждений города</w:t>
            </w:r>
          </w:p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1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ГО, ЧС, ОБ и МП администрации города</w:t>
            </w:r>
          </w:p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Количество мун. учреждений, оборудованных системой видеонаблюдения</w:t>
            </w: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8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2015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7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13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ind w:right="-108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1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3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2016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7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18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ind w:right="-108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1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3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2017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7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110,0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110,0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11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ind w:right="-108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1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3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2018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39,6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39,6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17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ind w:right="-108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1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3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2019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40,0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22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ind w:right="-108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1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3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14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ind w:right="-108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1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3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07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ind w:right="-108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1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3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2022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11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344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ind w:right="-108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1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3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Итого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189,6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189,6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>
          <w:trHeight w:val="364" w:hRule="atLeast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2.2.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Приобретение стационарного металлодетектора арочного типа</w:t>
            </w:r>
          </w:p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1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ГО, ЧС, ОБ и МП администрации города</w:t>
            </w:r>
          </w:p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Недопущение террористических акций на территории города</w:t>
            </w: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Вып./не вып.</w:t>
            </w:r>
          </w:p>
        </w:tc>
        <w:tc>
          <w:tcPr>
            <w:tcW w:w="8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2015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вып.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00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ind w:right="-108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1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3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2016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вып.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19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ind w:right="-108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1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3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2017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вып.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24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ind w:right="-108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1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3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2018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вып.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16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ind w:right="-108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1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3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2019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вып.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22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ind w:right="-108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1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3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вып.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01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ind w:right="-108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1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3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вып.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07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ind w:right="-108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1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3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2022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вып.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344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ind w:right="-108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1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3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Итого</w:t>
            </w:r>
          </w:p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>
          <w:trHeight w:val="416" w:hRule="atLeast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2.3.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Приобретение ручного металлоискателя</w:t>
            </w:r>
          </w:p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1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ГО, ЧС, ОБ и МП администрации города</w:t>
            </w:r>
          </w:p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Недопущение террористических акций на территории города</w:t>
            </w: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Вып./не вып.</w:t>
            </w:r>
          </w:p>
        </w:tc>
        <w:tc>
          <w:tcPr>
            <w:tcW w:w="8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2015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вып.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16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311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113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8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2016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вып.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16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311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113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8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2017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вып.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16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311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113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8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2018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вып.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47,0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47,0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16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311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113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8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2019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вып.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16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311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113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8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вып.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16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311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113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8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вып.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16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311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113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8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2022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вып.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16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311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113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18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Итого</w:t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47,0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47,0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>
          <w:trHeight w:val="416" w:hRule="atLeast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2.4.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Оснащение тревожной кнопкой муниципальных учреждений города</w:t>
            </w:r>
          </w:p>
        </w:tc>
        <w:tc>
          <w:tcPr>
            <w:tcW w:w="311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ГО, ЧС, ОБ и МП администрации города</w:t>
            </w:r>
          </w:p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Количество мун. Учреждений, оборудованных тревожной кнопкой</w:t>
            </w: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8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2015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16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311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113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8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2016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16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311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113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8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2017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16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311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113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8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2018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11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33,4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33,4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16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311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113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8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2019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11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16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311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113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8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11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16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311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113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8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11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16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311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113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8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2022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11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16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311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113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18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Итого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33,4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33,4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>
          <w:trHeight w:val="345" w:hRule="atLeast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2.5.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Исполнение государственных полномочий по обеспечению деятельности административных комиссий</w:t>
            </w:r>
          </w:p>
        </w:tc>
        <w:tc>
          <w:tcPr>
            <w:tcW w:w="311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Административная комиссия администрации города</w:t>
            </w:r>
          </w:p>
        </w:tc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Недопущение террористических акций на территории города</w:t>
            </w: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8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2015</w:t>
            </w:r>
          </w:p>
        </w:tc>
        <w:tc>
          <w:tcPr>
            <w:tcW w:w="10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>
          <w:trHeight w:val="345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1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3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8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2016</w:t>
            </w:r>
          </w:p>
        </w:tc>
        <w:tc>
          <w:tcPr>
            <w:tcW w:w="10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>
          <w:trHeight w:val="315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1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3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8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2017</w:t>
            </w:r>
          </w:p>
        </w:tc>
        <w:tc>
          <w:tcPr>
            <w:tcW w:w="10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>
          <w:trHeight w:val="315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1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3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8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2018</w:t>
            </w:r>
          </w:p>
        </w:tc>
        <w:tc>
          <w:tcPr>
            <w:tcW w:w="10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>
          <w:trHeight w:val="323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1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3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8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2019</w:t>
            </w:r>
          </w:p>
        </w:tc>
        <w:tc>
          <w:tcPr>
            <w:tcW w:w="10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190,0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190,0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330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1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3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8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2020</w:t>
            </w:r>
          </w:p>
        </w:tc>
        <w:tc>
          <w:tcPr>
            <w:tcW w:w="10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211,1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211,1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330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1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39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846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8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2021</w:t>
            </w:r>
          </w:p>
        </w:tc>
        <w:tc>
          <w:tcPr>
            <w:tcW w:w="10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191,1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191,1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330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1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39" w:type="dxa"/>
            <w:gridSpan w:val="2"/>
            <w:vMerge w:val="continue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846" w:type="dxa"/>
            <w:gridSpan w:val="2"/>
            <w:vMerge w:val="continue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8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2022</w:t>
            </w:r>
          </w:p>
        </w:tc>
        <w:tc>
          <w:tcPr>
            <w:tcW w:w="10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266,2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266,2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330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1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39" w:type="dxa"/>
            <w:gridSpan w:val="2"/>
            <w:vMerge w:val="continue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846" w:type="dxa"/>
            <w:gridSpan w:val="2"/>
            <w:vMerge w:val="continue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18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Итого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858,4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858,4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</w:tr>
      <w:tr>
        <w:trPr>
          <w:trHeight w:val="416" w:hRule="atLeast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Итого по подпрограмме</w:t>
            </w:r>
          </w:p>
        </w:tc>
        <w:tc>
          <w:tcPr>
            <w:tcW w:w="311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8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2015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>
          <w:trHeight w:val="408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ind w:right="-108" w:hanging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1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3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2016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>
          <w:trHeight w:val="427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ind w:right="-108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1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3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2017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110,0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110,0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>
          <w:trHeight w:val="404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ind w:right="-108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1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3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2018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120,0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120,0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>
          <w:trHeight w:val="425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ind w:right="-108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1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3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2019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230,0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190,0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40,0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>
          <w:trHeight w:val="417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ind w:right="-108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1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3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2020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211,1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211,1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>
          <w:trHeight w:val="408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ind w:right="-108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1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3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2021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191,1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191,1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>
          <w:trHeight w:val="414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ind w:right="-108" w:hanging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1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3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2022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266,2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266,2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>
          <w:trHeight w:val="574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ind w:right="-108" w:hanging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1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3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Итого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1128,4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858,4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270,0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>
          <w:trHeight w:val="415" w:hRule="atLeast"/>
        </w:trPr>
        <w:tc>
          <w:tcPr>
            <w:tcW w:w="15460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3. Подпрограмма «Повышение безопасности дорожного движения в городе Кирсанове»</w:t>
            </w:r>
          </w:p>
        </w:tc>
      </w:tr>
      <w:tr>
        <w:trPr>
          <w:trHeight w:val="418" w:hRule="atLeast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ind w:right="-108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3.1.</w:t>
            </w:r>
          </w:p>
        </w:tc>
        <w:tc>
          <w:tcPr>
            <w:tcW w:w="279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Проведение городских и участие в областных мероприятиях детей по изучению правил дорожного движения и вопросам профилактики детского дорожно-транспортного травматизма</w:t>
            </w:r>
          </w:p>
        </w:tc>
        <w:tc>
          <w:tcPr>
            <w:tcW w:w="25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образования администрации города, МОМВД России «Кирсановский» (по согласованию)</w:t>
            </w:r>
          </w:p>
        </w:tc>
        <w:tc>
          <w:tcPr>
            <w:tcW w:w="155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Количество образовательных учреждений, принявших участие в конкурсе</w:t>
            </w: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шт.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2015</w:t>
            </w:r>
          </w:p>
        </w:tc>
        <w:tc>
          <w:tcPr>
            <w:tcW w:w="9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6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10,0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397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2016</w:t>
            </w:r>
          </w:p>
        </w:tc>
        <w:tc>
          <w:tcPr>
            <w:tcW w:w="9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6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10,0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30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2017</w:t>
            </w:r>
          </w:p>
        </w:tc>
        <w:tc>
          <w:tcPr>
            <w:tcW w:w="9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6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15,0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08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2018</w:t>
            </w:r>
          </w:p>
        </w:tc>
        <w:tc>
          <w:tcPr>
            <w:tcW w:w="9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6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15,0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15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2019</w:t>
            </w:r>
          </w:p>
        </w:tc>
        <w:tc>
          <w:tcPr>
            <w:tcW w:w="9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6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15,0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399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2020</w:t>
            </w:r>
          </w:p>
        </w:tc>
        <w:tc>
          <w:tcPr>
            <w:tcW w:w="9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399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2021</w:t>
            </w:r>
          </w:p>
        </w:tc>
        <w:tc>
          <w:tcPr>
            <w:tcW w:w="9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399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2022</w:t>
            </w:r>
          </w:p>
        </w:tc>
        <w:tc>
          <w:tcPr>
            <w:tcW w:w="9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6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18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Итого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65,0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65,0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>
          <w:trHeight w:val="416" w:hRule="atLeast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ind w:right="-108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3.2.</w:t>
            </w:r>
          </w:p>
        </w:tc>
        <w:tc>
          <w:tcPr>
            <w:tcW w:w="279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Приобретение оборудования и подготовка учебного класса (группы) в образовательных учреждениях города для обучения правилам дорожного движения</w:t>
            </w:r>
          </w:p>
        </w:tc>
        <w:tc>
          <w:tcPr>
            <w:tcW w:w="25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образования администрации города</w:t>
            </w:r>
          </w:p>
        </w:tc>
        <w:tc>
          <w:tcPr>
            <w:tcW w:w="155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Количество образо-вательных учреждений, оборудованных учебными классами</w:t>
            </w: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шт.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2015</w:t>
            </w:r>
          </w:p>
        </w:tc>
        <w:tc>
          <w:tcPr>
            <w:tcW w:w="9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6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10,0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08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2016</w:t>
            </w:r>
          </w:p>
        </w:tc>
        <w:tc>
          <w:tcPr>
            <w:tcW w:w="9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6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10,0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27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2017</w:t>
            </w:r>
          </w:p>
        </w:tc>
        <w:tc>
          <w:tcPr>
            <w:tcW w:w="9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6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13,0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13,0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05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2018</w:t>
            </w:r>
          </w:p>
        </w:tc>
        <w:tc>
          <w:tcPr>
            <w:tcW w:w="9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6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15,0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25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2019</w:t>
            </w:r>
          </w:p>
        </w:tc>
        <w:tc>
          <w:tcPr>
            <w:tcW w:w="9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6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19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2020</w:t>
            </w:r>
          </w:p>
        </w:tc>
        <w:tc>
          <w:tcPr>
            <w:tcW w:w="9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6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19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2021</w:t>
            </w:r>
          </w:p>
        </w:tc>
        <w:tc>
          <w:tcPr>
            <w:tcW w:w="9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419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2022</w:t>
            </w:r>
          </w:p>
        </w:tc>
        <w:tc>
          <w:tcPr>
            <w:tcW w:w="9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561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Итого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48,0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48,0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>
          <w:trHeight w:val="416" w:hRule="atLeast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ind w:right="-108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3.3.</w:t>
            </w:r>
          </w:p>
        </w:tc>
        <w:tc>
          <w:tcPr>
            <w:tcW w:w="279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Установка и замена ограждающих устройств в опасных местах в т. ч. проектные работы</w:t>
            </w:r>
          </w:p>
        </w:tc>
        <w:tc>
          <w:tcPr>
            <w:tcW w:w="25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ГО, ЧС и ОБ администрации города, отдел архитектуры и перспектив развития города, отдел ЖКХ и благоустройства</w:t>
            </w:r>
          </w:p>
        </w:tc>
        <w:tc>
          <w:tcPr>
            <w:tcW w:w="155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Сокращение количества мест концентрации ДТП</w:t>
            </w: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2015</w:t>
            </w:r>
          </w:p>
        </w:tc>
        <w:tc>
          <w:tcPr>
            <w:tcW w:w="9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05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2016</w:t>
            </w:r>
          </w:p>
        </w:tc>
        <w:tc>
          <w:tcPr>
            <w:tcW w:w="9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680,1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680,1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12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2017</w:t>
            </w:r>
          </w:p>
        </w:tc>
        <w:tc>
          <w:tcPr>
            <w:tcW w:w="9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17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2018</w:t>
            </w:r>
          </w:p>
        </w:tc>
        <w:tc>
          <w:tcPr>
            <w:tcW w:w="9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22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2019</w:t>
            </w:r>
          </w:p>
        </w:tc>
        <w:tc>
          <w:tcPr>
            <w:tcW w:w="9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17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2020</w:t>
            </w:r>
          </w:p>
        </w:tc>
        <w:tc>
          <w:tcPr>
            <w:tcW w:w="9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17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2021</w:t>
            </w:r>
          </w:p>
        </w:tc>
        <w:tc>
          <w:tcPr>
            <w:tcW w:w="9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17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2022</w:t>
            </w:r>
          </w:p>
        </w:tc>
        <w:tc>
          <w:tcPr>
            <w:tcW w:w="9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564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Итого</w:t>
            </w:r>
          </w:p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680,1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680,1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>
          <w:trHeight w:val="443" w:hRule="atLeast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ind w:right="-108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3.4.</w:t>
            </w:r>
          </w:p>
        </w:tc>
        <w:tc>
          <w:tcPr>
            <w:tcW w:w="279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Замена и установка дорожных знаков, внесение изменений в схему размещения дорожных знаков</w:t>
            </w:r>
          </w:p>
        </w:tc>
        <w:tc>
          <w:tcPr>
            <w:tcW w:w="25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ГО, ЧС и ОБ администрации города</w:t>
            </w:r>
          </w:p>
        </w:tc>
        <w:tc>
          <w:tcPr>
            <w:tcW w:w="155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Сокращение количества погибших и пострадавших в ДТП</w:t>
            </w: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чел.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2015</w:t>
            </w:r>
          </w:p>
        </w:tc>
        <w:tc>
          <w:tcPr>
            <w:tcW w:w="9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260,0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260,0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21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2016</w:t>
            </w:r>
          </w:p>
        </w:tc>
        <w:tc>
          <w:tcPr>
            <w:tcW w:w="9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479,3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479,3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26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2017</w:t>
            </w:r>
          </w:p>
        </w:tc>
        <w:tc>
          <w:tcPr>
            <w:tcW w:w="9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132,1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132,1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04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2018</w:t>
            </w:r>
          </w:p>
        </w:tc>
        <w:tc>
          <w:tcPr>
            <w:tcW w:w="9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20,8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11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2019</w:t>
            </w:r>
          </w:p>
        </w:tc>
        <w:tc>
          <w:tcPr>
            <w:tcW w:w="9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395,9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395,9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17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2020</w:t>
            </w:r>
          </w:p>
        </w:tc>
        <w:tc>
          <w:tcPr>
            <w:tcW w:w="9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35,2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35,2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17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2021</w:t>
            </w:r>
          </w:p>
        </w:tc>
        <w:tc>
          <w:tcPr>
            <w:tcW w:w="9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112,4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112,4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17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2022</w:t>
            </w:r>
          </w:p>
        </w:tc>
        <w:tc>
          <w:tcPr>
            <w:tcW w:w="9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664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Итого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1435,7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1435,7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>
          <w:trHeight w:val="442" w:hRule="atLeast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ind w:right="-108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3.5.</w:t>
            </w:r>
          </w:p>
        </w:tc>
        <w:tc>
          <w:tcPr>
            <w:tcW w:w="279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Приобретение, установка, реконструкция и мелкий ремонт светофорных объектов в т.ч. проектные работы</w:t>
            </w:r>
          </w:p>
        </w:tc>
        <w:tc>
          <w:tcPr>
            <w:tcW w:w="25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ГО, ЧС и ОБ администрации города</w:t>
            </w:r>
          </w:p>
        </w:tc>
        <w:tc>
          <w:tcPr>
            <w:tcW w:w="155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Сокращение количества погибших и пострадавших в ДТП</w:t>
            </w: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чел.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2015</w:t>
            </w:r>
          </w:p>
        </w:tc>
        <w:tc>
          <w:tcPr>
            <w:tcW w:w="9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157,8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157,8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07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2016</w:t>
            </w:r>
          </w:p>
        </w:tc>
        <w:tc>
          <w:tcPr>
            <w:tcW w:w="9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346,7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346,7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27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2017</w:t>
            </w:r>
          </w:p>
        </w:tc>
        <w:tc>
          <w:tcPr>
            <w:tcW w:w="9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80,4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80,4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05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2018</w:t>
            </w:r>
          </w:p>
        </w:tc>
        <w:tc>
          <w:tcPr>
            <w:tcW w:w="9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8,0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8,0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24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2019</w:t>
            </w:r>
          </w:p>
        </w:tc>
        <w:tc>
          <w:tcPr>
            <w:tcW w:w="9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13,5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13,5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17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2020</w:t>
            </w:r>
          </w:p>
        </w:tc>
        <w:tc>
          <w:tcPr>
            <w:tcW w:w="9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20,0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17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2021</w:t>
            </w:r>
          </w:p>
        </w:tc>
        <w:tc>
          <w:tcPr>
            <w:tcW w:w="9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20,0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17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2022</w:t>
            </w:r>
          </w:p>
        </w:tc>
        <w:tc>
          <w:tcPr>
            <w:tcW w:w="9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15,0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561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Итого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661,4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661,4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>
          <w:trHeight w:val="418" w:hRule="atLeast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ind w:right="-108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3.6.</w:t>
            </w:r>
          </w:p>
        </w:tc>
        <w:tc>
          <w:tcPr>
            <w:tcW w:w="279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Нанесение горизонтальной дорожной разметки</w:t>
            </w:r>
          </w:p>
        </w:tc>
        <w:tc>
          <w:tcPr>
            <w:tcW w:w="25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ГО, ЧС и ОБ администрации города</w:t>
            </w:r>
          </w:p>
        </w:tc>
        <w:tc>
          <w:tcPr>
            <w:tcW w:w="155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Сокращение количества погибших и пострадавших в ДТП</w:t>
            </w: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чел.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2015</w:t>
            </w:r>
          </w:p>
        </w:tc>
        <w:tc>
          <w:tcPr>
            <w:tcW w:w="9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401,8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401,8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24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2016</w:t>
            </w:r>
          </w:p>
        </w:tc>
        <w:tc>
          <w:tcPr>
            <w:tcW w:w="9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439,3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439,3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17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2017</w:t>
            </w:r>
          </w:p>
        </w:tc>
        <w:tc>
          <w:tcPr>
            <w:tcW w:w="9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600,5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600,5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395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2018</w:t>
            </w:r>
          </w:p>
        </w:tc>
        <w:tc>
          <w:tcPr>
            <w:tcW w:w="9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542,1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542,1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28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2019</w:t>
            </w:r>
          </w:p>
        </w:tc>
        <w:tc>
          <w:tcPr>
            <w:tcW w:w="9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471,6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471,6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06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2020</w:t>
            </w:r>
          </w:p>
        </w:tc>
        <w:tc>
          <w:tcPr>
            <w:tcW w:w="9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479,0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479,0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06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2021</w:t>
            </w:r>
          </w:p>
        </w:tc>
        <w:tc>
          <w:tcPr>
            <w:tcW w:w="9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596,1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596,1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06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2022</w:t>
            </w:r>
          </w:p>
        </w:tc>
        <w:tc>
          <w:tcPr>
            <w:tcW w:w="9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1115,91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1115,91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706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Итого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ind w:right="-108"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4646,31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ind w:right="-108"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4646,31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ind w:right="-108"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>
          <w:trHeight w:val="418" w:hRule="atLeast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ind w:right="-108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3.7.</w:t>
            </w:r>
          </w:p>
        </w:tc>
        <w:tc>
          <w:tcPr>
            <w:tcW w:w="279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Приобретение искусственных неровностей</w:t>
            </w:r>
          </w:p>
        </w:tc>
        <w:tc>
          <w:tcPr>
            <w:tcW w:w="25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ГО, ЧС и ОБ администрации города</w:t>
            </w:r>
          </w:p>
        </w:tc>
        <w:tc>
          <w:tcPr>
            <w:tcW w:w="155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Сокращение количества погибших и пострадавших в ДТП</w:t>
            </w: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чел.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2015</w:t>
            </w:r>
          </w:p>
        </w:tc>
        <w:tc>
          <w:tcPr>
            <w:tcW w:w="9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41,4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41,4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18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2016</w:t>
            </w:r>
          </w:p>
        </w:tc>
        <w:tc>
          <w:tcPr>
            <w:tcW w:w="9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204,6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204,6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18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2017</w:t>
            </w:r>
          </w:p>
        </w:tc>
        <w:tc>
          <w:tcPr>
            <w:tcW w:w="9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40,0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18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2018</w:t>
            </w:r>
          </w:p>
        </w:tc>
        <w:tc>
          <w:tcPr>
            <w:tcW w:w="9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36,7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36,7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18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2019</w:t>
            </w:r>
          </w:p>
        </w:tc>
        <w:tc>
          <w:tcPr>
            <w:tcW w:w="9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53,3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53,3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18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2020</w:t>
            </w:r>
          </w:p>
        </w:tc>
        <w:tc>
          <w:tcPr>
            <w:tcW w:w="9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18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2021</w:t>
            </w:r>
          </w:p>
        </w:tc>
        <w:tc>
          <w:tcPr>
            <w:tcW w:w="9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18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2022</w:t>
            </w:r>
          </w:p>
        </w:tc>
        <w:tc>
          <w:tcPr>
            <w:tcW w:w="9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666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Итого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376,0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376,0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>
          <w:trHeight w:val="470" w:hRule="atLeast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3.8</w:t>
            </w:r>
          </w:p>
        </w:tc>
        <w:tc>
          <w:tcPr>
            <w:tcW w:w="279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Разработка комплексной схемы организации безопасности дорожного движения</w:t>
            </w:r>
          </w:p>
        </w:tc>
        <w:tc>
          <w:tcPr>
            <w:tcW w:w="25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ГО, ЧС и ОБ администрации города</w:t>
            </w:r>
          </w:p>
        </w:tc>
        <w:tc>
          <w:tcPr>
            <w:tcW w:w="155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Сокращение количества погибших и пострадавших в ДТП</w:t>
            </w: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чел.</w:t>
            </w:r>
          </w:p>
        </w:tc>
        <w:tc>
          <w:tcPr>
            <w:tcW w:w="7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2015</w:t>
            </w:r>
          </w:p>
        </w:tc>
        <w:tc>
          <w:tcPr>
            <w:tcW w:w="9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>
          <w:trHeight w:val="345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2016</w:t>
            </w:r>
          </w:p>
        </w:tc>
        <w:tc>
          <w:tcPr>
            <w:tcW w:w="9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>
          <w:trHeight w:val="420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2017</w:t>
            </w:r>
          </w:p>
        </w:tc>
        <w:tc>
          <w:tcPr>
            <w:tcW w:w="9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>
          <w:trHeight w:val="420" w:hRule="atLeast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79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2018</w:t>
            </w:r>
          </w:p>
        </w:tc>
        <w:tc>
          <w:tcPr>
            <w:tcW w:w="9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>
          <w:trHeight w:val="420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2019</w:t>
            </w:r>
          </w:p>
        </w:tc>
        <w:tc>
          <w:tcPr>
            <w:tcW w:w="9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1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90,0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90,0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>
          <w:trHeight w:val="420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2020</w:t>
            </w:r>
          </w:p>
        </w:tc>
        <w:tc>
          <w:tcPr>
            <w:tcW w:w="9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>
          <w:trHeight w:val="420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2021</w:t>
            </w:r>
          </w:p>
        </w:tc>
        <w:tc>
          <w:tcPr>
            <w:tcW w:w="9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>
          <w:trHeight w:val="420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2022</w:t>
            </w:r>
          </w:p>
        </w:tc>
        <w:tc>
          <w:tcPr>
            <w:tcW w:w="9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>
          <w:trHeight w:val="420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Итого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90,0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90,0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</w:tr>
      <w:tr>
        <w:trPr>
          <w:trHeight w:val="418" w:hRule="atLeast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79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Итого по подпрограмме</w:t>
            </w:r>
          </w:p>
        </w:tc>
        <w:tc>
          <w:tcPr>
            <w:tcW w:w="25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155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2015</w:t>
            </w:r>
          </w:p>
        </w:tc>
        <w:tc>
          <w:tcPr>
            <w:tcW w:w="9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881,0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881,0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>
          <w:trHeight w:val="418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2016</w:t>
            </w:r>
          </w:p>
        </w:tc>
        <w:tc>
          <w:tcPr>
            <w:tcW w:w="9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2170,0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2170,0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>
          <w:trHeight w:val="418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2017</w:t>
            </w:r>
          </w:p>
        </w:tc>
        <w:tc>
          <w:tcPr>
            <w:tcW w:w="9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881,0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881,0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>
          <w:trHeight w:val="418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2018</w:t>
            </w:r>
          </w:p>
        </w:tc>
        <w:tc>
          <w:tcPr>
            <w:tcW w:w="9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637,6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637,6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>
          <w:trHeight w:val="418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2019</w:t>
            </w:r>
          </w:p>
        </w:tc>
        <w:tc>
          <w:tcPr>
            <w:tcW w:w="9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1039,3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1039,3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>
          <w:trHeight w:val="418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2020</w:t>
            </w:r>
          </w:p>
        </w:tc>
        <w:tc>
          <w:tcPr>
            <w:tcW w:w="9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534,2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534,2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>
          <w:trHeight w:val="418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2021</w:t>
            </w:r>
          </w:p>
        </w:tc>
        <w:tc>
          <w:tcPr>
            <w:tcW w:w="9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728,5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728,5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>
          <w:trHeight w:val="418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2022</w:t>
            </w:r>
          </w:p>
        </w:tc>
        <w:tc>
          <w:tcPr>
            <w:tcW w:w="9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1131,0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1131,0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>
          <w:trHeight w:val="395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Итого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8002,6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8002,6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>
          <w:trHeight w:val="418" w:hRule="atLeast"/>
        </w:trPr>
        <w:tc>
          <w:tcPr>
            <w:tcW w:w="15460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4. Подпрограмма «Подготовка граждан к военной службе в городе Кирсанове»</w:t>
            </w:r>
          </w:p>
        </w:tc>
      </w:tr>
      <w:tr>
        <w:trPr>
          <w:trHeight w:val="418" w:hRule="atLeast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4.1.</w:t>
            </w:r>
          </w:p>
        </w:tc>
        <w:tc>
          <w:tcPr>
            <w:tcW w:w="279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Организация и проведение 5-дневных учебных сборов:</w:t>
            </w:r>
          </w:p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учащихся 10 классов муниципальных общеобразовательных учреждений</w:t>
            </w:r>
          </w:p>
        </w:tc>
        <w:tc>
          <w:tcPr>
            <w:tcW w:w="25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образования администрации города</w:t>
            </w:r>
          </w:p>
        </w:tc>
        <w:tc>
          <w:tcPr>
            <w:tcW w:w="155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Количество учащихся 10 классов</w:t>
            </w: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Человек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2015</w:t>
            </w:r>
          </w:p>
        </w:tc>
        <w:tc>
          <w:tcPr>
            <w:tcW w:w="9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18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2016</w:t>
            </w:r>
          </w:p>
        </w:tc>
        <w:tc>
          <w:tcPr>
            <w:tcW w:w="9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18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2017</w:t>
            </w:r>
          </w:p>
        </w:tc>
        <w:tc>
          <w:tcPr>
            <w:tcW w:w="9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12,0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12,0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18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2018</w:t>
            </w:r>
          </w:p>
        </w:tc>
        <w:tc>
          <w:tcPr>
            <w:tcW w:w="9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12,0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12,0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18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2019</w:t>
            </w:r>
          </w:p>
        </w:tc>
        <w:tc>
          <w:tcPr>
            <w:tcW w:w="9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10,0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18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2020</w:t>
            </w:r>
          </w:p>
        </w:tc>
        <w:tc>
          <w:tcPr>
            <w:tcW w:w="9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10,0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18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2021</w:t>
            </w:r>
          </w:p>
        </w:tc>
        <w:tc>
          <w:tcPr>
            <w:tcW w:w="9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18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2022</w:t>
            </w:r>
          </w:p>
        </w:tc>
        <w:tc>
          <w:tcPr>
            <w:tcW w:w="9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18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Итого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44,0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44,0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>
          <w:trHeight w:val="418" w:hRule="atLeast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79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Итого по подпрограмме</w:t>
            </w:r>
          </w:p>
        </w:tc>
        <w:tc>
          <w:tcPr>
            <w:tcW w:w="25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155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2015</w:t>
            </w:r>
          </w:p>
        </w:tc>
        <w:tc>
          <w:tcPr>
            <w:tcW w:w="9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>
          <w:trHeight w:val="418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2016</w:t>
            </w:r>
          </w:p>
        </w:tc>
        <w:tc>
          <w:tcPr>
            <w:tcW w:w="9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>
          <w:trHeight w:val="418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2017</w:t>
            </w:r>
          </w:p>
        </w:tc>
        <w:tc>
          <w:tcPr>
            <w:tcW w:w="9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12,0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12,0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18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2018</w:t>
            </w:r>
          </w:p>
        </w:tc>
        <w:tc>
          <w:tcPr>
            <w:tcW w:w="9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12,0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12,0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18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2019</w:t>
            </w:r>
          </w:p>
        </w:tc>
        <w:tc>
          <w:tcPr>
            <w:tcW w:w="9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10,0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18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2020</w:t>
            </w:r>
          </w:p>
        </w:tc>
        <w:tc>
          <w:tcPr>
            <w:tcW w:w="9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10,0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18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2021</w:t>
            </w:r>
          </w:p>
        </w:tc>
        <w:tc>
          <w:tcPr>
            <w:tcW w:w="9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18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2022</w:t>
            </w:r>
          </w:p>
        </w:tc>
        <w:tc>
          <w:tcPr>
            <w:tcW w:w="9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18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Итого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44,0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44,0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>
          <w:trHeight w:val="418" w:hRule="atLeast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79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Всего по муниципальной программе</w:t>
            </w:r>
          </w:p>
        </w:tc>
        <w:tc>
          <w:tcPr>
            <w:tcW w:w="25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155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2015</w:t>
            </w:r>
          </w:p>
        </w:tc>
        <w:tc>
          <w:tcPr>
            <w:tcW w:w="9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980,85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980,85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>
          <w:trHeight w:val="418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2016</w:t>
            </w:r>
          </w:p>
        </w:tc>
        <w:tc>
          <w:tcPr>
            <w:tcW w:w="9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2350,0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2350,0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>
          <w:trHeight w:val="418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2017</w:t>
            </w:r>
          </w:p>
        </w:tc>
        <w:tc>
          <w:tcPr>
            <w:tcW w:w="9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1113,0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1113,0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>
          <w:trHeight w:val="418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2018</w:t>
            </w:r>
          </w:p>
        </w:tc>
        <w:tc>
          <w:tcPr>
            <w:tcW w:w="9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988,1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988,1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>
          <w:trHeight w:val="418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2019</w:t>
            </w:r>
          </w:p>
        </w:tc>
        <w:tc>
          <w:tcPr>
            <w:tcW w:w="9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1336,9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190,0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1146,9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>
          <w:trHeight w:val="418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2020</w:t>
            </w:r>
          </w:p>
        </w:tc>
        <w:tc>
          <w:tcPr>
            <w:tcW w:w="9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759,3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211,1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548,2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>
          <w:trHeight w:val="418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2021</w:t>
            </w:r>
          </w:p>
        </w:tc>
        <w:tc>
          <w:tcPr>
            <w:tcW w:w="9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919,5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191,1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b/>
                <w:color w:val="000000"/>
              </w:rPr>
              <w:t>728,5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>
          <w:trHeight w:val="418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2022</w:t>
            </w:r>
          </w:p>
        </w:tc>
        <w:tc>
          <w:tcPr>
            <w:tcW w:w="9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1478,5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266,2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1212,3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>
          <w:trHeight w:val="501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Итого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b/>
                <w:color w:val="000000"/>
              </w:rPr>
              <w:t>9926,15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b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b/>
                <w:color w:val="000000"/>
              </w:rPr>
              <w:t>858,4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b/>
                <w:color w:val="000000"/>
              </w:rPr>
              <w:t>9067,85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</w:tbl>
    <w:p>
      <w:pPr>
        <w:pStyle w:val="Normal"/>
        <w:spacing w:before="0" w:after="0"/>
        <w:rPr>
          <w:sz w:val="24"/>
          <w:szCs w:val="24"/>
        </w:rPr>
      </w:pPr>
      <w:r>
        <w:rPr>
          <w:sz w:val="24"/>
          <w:szCs w:val="24"/>
        </w:rPr>
      </w:r>
      <w:bookmarkStart w:id="2" w:name="Par520"/>
      <w:bookmarkStart w:id="3" w:name="Par520"/>
      <w:bookmarkEnd w:id="3"/>
    </w:p>
    <w:p>
      <w:pPr>
        <w:pStyle w:val="Normal"/>
        <w:spacing w:before="0" w:after="0"/>
        <w:rPr>
          <w:rFonts w:ascii="Times New Roman" w:hAnsi="Times New Roman" w:cs="Times New Roman"/>
          <w:b/>
          <w:b/>
          <w:szCs w:val="28"/>
        </w:rPr>
      </w:pPr>
      <w:r>
        <w:rPr>
          <w:rFonts w:cs="Times New Roman" w:ascii="Times New Roman" w:hAnsi="Times New Roman"/>
          <w:b/>
          <w:szCs w:val="28"/>
        </w:rPr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/>
          <w:szCs w:val="28"/>
        </w:rPr>
      </w:pPr>
      <w:r>
        <w:rPr>
          <w:rFonts w:cs="Times New Roman" w:ascii="Times New Roman" w:hAnsi="Times New Roman"/>
          <w:b/>
          <w:szCs w:val="28"/>
        </w:rPr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Перечень мероприятий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муниципальной программы «Обеспечение безопасности населения города Кирсанова Тамбовской области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и противодействие преступности на 2015-2030 годы»  2 этап реализации (2023-2030)</w:t>
      </w:r>
    </w:p>
    <w:p>
      <w:pPr>
        <w:pStyle w:val="Normal"/>
        <w:spacing w:before="100" w:after="0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tbl>
      <w:tblPr>
        <w:tblW w:w="15461" w:type="dxa"/>
        <w:jc w:val="left"/>
        <w:tblInd w:w="-606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567"/>
        <w:gridCol w:w="2693"/>
        <w:gridCol w:w="105"/>
        <w:gridCol w:w="2589"/>
        <w:gridCol w:w="425"/>
        <w:gridCol w:w="1133"/>
        <w:gridCol w:w="6"/>
        <w:gridCol w:w="136"/>
        <w:gridCol w:w="710"/>
        <w:gridCol w:w="142"/>
        <w:gridCol w:w="566"/>
        <w:gridCol w:w="131"/>
        <w:gridCol w:w="11"/>
        <w:gridCol w:w="851"/>
        <w:gridCol w:w="142"/>
        <w:gridCol w:w="991"/>
        <w:gridCol w:w="992"/>
        <w:gridCol w:w="1134"/>
        <w:gridCol w:w="1135"/>
        <w:gridCol w:w="1001"/>
      </w:tblGrid>
      <w:tr>
        <w:trPr/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№</w:t>
            </w:r>
          </w:p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п/п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Наименование подпрограммы, основного мероприятия, мероприятия</w:t>
            </w:r>
          </w:p>
        </w:tc>
        <w:tc>
          <w:tcPr>
            <w:tcW w:w="311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Ответственный исполнитель, соисполнители</w:t>
            </w:r>
          </w:p>
        </w:tc>
        <w:tc>
          <w:tcPr>
            <w:tcW w:w="382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Ожидаемые непосредственные результаты</w:t>
            </w:r>
          </w:p>
        </w:tc>
        <w:tc>
          <w:tcPr>
            <w:tcW w:w="525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Объемы финансирования, тыс. рублей, в т.ч.</w:t>
            </w:r>
          </w:p>
        </w:tc>
      </w:tr>
      <w:tr>
        <w:trPr>
          <w:trHeight w:val="1017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1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наименование</w:t>
            </w:r>
          </w:p>
        </w:tc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единица изме-рения</w:t>
            </w:r>
          </w:p>
        </w:tc>
        <w:tc>
          <w:tcPr>
            <w:tcW w:w="17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значение (по годам реализации мероприятия)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по годам, всего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федера-льный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Тамбовской области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бюджет города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ind w:left="-108" w:right="-108"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внебюд-жетные средства</w:t>
            </w:r>
          </w:p>
        </w:tc>
      </w:tr>
      <w:tr>
        <w:trPr>
          <w:trHeight w:val="275" w:hRule="atLeas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3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</w:t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</w:t>
            </w:r>
          </w:p>
        </w:tc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</w:t>
            </w:r>
          </w:p>
        </w:tc>
        <w:tc>
          <w:tcPr>
            <w:tcW w:w="17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6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9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11</w:t>
            </w:r>
          </w:p>
        </w:tc>
      </w:tr>
      <w:tr>
        <w:trPr>
          <w:trHeight w:val="520" w:hRule="atLeast"/>
        </w:trPr>
        <w:tc>
          <w:tcPr>
            <w:tcW w:w="15460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1. Подпрограмма «Обеспечение общественного порядка и противодействие преступности в городе Кирсанове»</w:t>
            </w:r>
          </w:p>
        </w:tc>
      </w:tr>
      <w:tr>
        <w:trPr>
          <w:trHeight w:val="344" w:hRule="atLeast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ind w:right="-108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1.1.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Оборудование мест массового пребывания граждан средствами видеонаблюдения (приобретение комплектующих устройств для работы системы видеонаблюдения)</w:t>
            </w:r>
          </w:p>
        </w:tc>
        <w:tc>
          <w:tcPr>
            <w:tcW w:w="311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ГО, ЧС и ОБ администрации города</w:t>
            </w:r>
          </w:p>
        </w:tc>
        <w:tc>
          <w:tcPr>
            <w:tcW w:w="127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Количество объектов, оборудо-ванных системами видеонаблюдения</w:t>
            </w:r>
          </w:p>
        </w:tc>
        <w:tc>
          <w:tcPr>
            <w:tcW w:w="85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шт.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2023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17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40,0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349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ind w:right="-108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1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5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2024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17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40,0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13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ind w:right="-108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1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5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2025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17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40,0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17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ind w:right="-108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1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5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2026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17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40,0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323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ind w:right="-108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1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5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2027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17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40,0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06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ind w:right="-108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1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5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2028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17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40,0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18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ind w:right="-108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1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5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2029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17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40,0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11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ind w:right="-108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1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5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2030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17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40,0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277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ind w:right="-108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1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5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Итого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320,0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320,0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>
          <w:trHeight w:val="424" w:hRule="atLeast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ind w:right="-108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1.2.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Поддержание в рабочем состоянии средств видеонаблюдения на территории города (мелкий ремонт, техническое обслуживание, закупка запасных частей и т.п.)</w:t>
            </w:r>
          </w:p>
        </w:tc>
        <w:tc>
          <w:tcPr>
            <w:tcW w:w="311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ГО, ЧС и ОБ администрации города</w:t>
            </w:r>
          </w:p>
        </w:tc>
        <w:tc>
          <w:tcPr>
            <w:tcW w:w="127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Количество объектов, оборудо-ванных системами видео-наблюде-ния</w:t>
            </w:r>
          </w:p>
        </w:tc>
        <w:tc>
          <w:tcPr>
            <w:tcW w:w="85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шт.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2023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17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10,0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17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ind w:right="-108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1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5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2024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17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10,0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09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ind w:right="-108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1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5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2025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17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10,0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14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ind w:right="-108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1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5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2026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17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10,0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20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ind w:right="-108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1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5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2027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17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10,0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13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ind w:right="-108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1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5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2028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17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10,0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18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ind w:right="-108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1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5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2029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17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10,0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24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ind w:right="-108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1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5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2030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17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10,0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557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ind w:right="-108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1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5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Итого</w:t>
            </w:r>
          </w:p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80,0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80,0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>
          <w:trHeight w:val="416" w:hRule="atLeast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ind w:right="-108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1.3.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Изготовление агитационного материала по профилактике мошенничества</w:t>
            </w:r>
          </w:p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1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ГО, ЧС и ОБ администрации города</w:t>
            </w:r>
          </w:p>
        </w:tc>
        <w:tc>
          <w:tcPr>
            <w:tcW w:w="127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Зарегистрированные преступления (всего)</w:t>
            </w:r>
          </w:p>
        </w:tc>
        <w:tc>
          <w:tcPr>
            <w:tcW w:w="85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Количество преступлений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2023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244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08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ind w:right="-108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1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5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2024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243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27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ind w:right="-108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1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5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2025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243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04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ind w:right="-108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1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5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2026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243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25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ind w:right="-108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1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5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2027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243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17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ind w:right="-108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1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5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2028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243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08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ind w:right="-108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1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5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2029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243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14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ind w:right="-108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1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5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2030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243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574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ind w:right="-108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1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5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Итого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>
          <w:trHeight w:val="412" w:hRule="atLeast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Итого по подпрограмме</w:t>
            </w:r>
          </w:p>
        </w:tc>
        <w:tc>
          <w:tcPr>
            <w:tcW w:w="311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127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85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2023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50,0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50,0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>
          <w:trHeight w:val="418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ind w:right="-108" w:hanging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1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5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2024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50,0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50,0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>
          <w:trHeight w:val="425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ind w:right="-108" w:hanging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1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5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2025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50,0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50,0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>
          <w:trHeight w:val="403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ind w:right="-108" w:hanging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1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5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2026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50,0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50,0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>
          <w:trHeight w:val="424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ind w:right="-108" w:hanging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1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5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2027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50,0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50,0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>
          <w:trHeight w:val="416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ind w:right="-108" w:hanging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1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5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2028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50,0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50,0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>
          <w:trHeight w:val="407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ind w:right="-108" w:hanging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1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5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2029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50,0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50,0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>
          <w:trHeight w:val="413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ind w:right="-108" w:hanging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1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5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2030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50,0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50,0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>
          <w:trHeight w:val="480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ind w:right="-108" w:hanging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1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5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Итого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400,0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400,0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>
          <w:trHeight w:val="403" w:hRule="atLeast"/>
        </w:trPr>
        <w:tc>
          <w:tcPr>
            <w:tcW w:w="15460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b/>
                <w:color w:val="000000"/>
              </w:rPr>
              <w:t>2. Подпрограмма «Противодействие терроризму и экстремизму в городе Кирсанове»</w:t>
            </w:r>
          </w:p>
        </w:tc>
      </w:tr>
      <w:tr>
        <w:trPr>
          <w:trHeight w:val="354" w:hRule="atLeast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2.1.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Оснащение системой видеонаблюдения муниципальных учреждений города</w:t>
            </w:r>
          </w:p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1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ГО, ЧС и ОБ администрации города</w:t>
            </w:r>
          </w:p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Количество мун. учреждений, оборудованных системой видеонаблюдения</w:t>
            </w: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2023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11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13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ind w:right="-108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1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3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2024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11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18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ind w:right="-108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1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3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2025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11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11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ind w:right="-108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1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3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2026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11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17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ind w:right="-108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1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3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2027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11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22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ind w:right="-108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1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3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2028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11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14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ind w:right="-108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1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3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2029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11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07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ind w:right="-108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1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3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2030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11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344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ind w:right="-108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1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3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Итого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>
          <w:trHeight w:val="364" w:hRule="atLeast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2.2.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Приобретение стационарного металлодетектора арочного типа</w:t>
            </w:r>
          </w:p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1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ГО, ЧС и ОБ администрации города</w:t>
            </w:r>
          </w:p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Недопущение террористических акций на территории города</w:t>
            </w: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Вып./не вып.</w:t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2023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вып.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00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ind w:right="-108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1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3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2024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вып.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19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ind w:right="-108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1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3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2025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вып.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24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ind w:right="-108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1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3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2026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вып.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16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ind w:right="-108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1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3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2027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вып.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22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ind w:right="-108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1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3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2028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вып.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01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ind w:right="-108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1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3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2029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вып.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07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ind w:right="-108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1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3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2030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вып.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344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ind w:right="-108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1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3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Итого</w:t>
            </w:r>
          </w:p>
          <w:p>
            <w:pPr>
              <w:pStyle w:val="Normal"/>
              <w:widowControl w:val="false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>
          <w:trHeight w:val="416" w:hRule="atLeast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2.3.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Приобретение ручного металлоискателя</w:t>
            </w:r>
          </w:p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1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ГО, ЧС и ОБ администрации города</w:t>
            </w:r>
          </w:p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Недопущение террористических акций на территории города</w:t>
            </w: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Вып./не вып.</w:t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2023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вып.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16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311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113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2024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вып.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16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311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113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2025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вып.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16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311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113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2026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вып.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16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311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113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2027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вып.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16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311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113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2028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вып.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16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311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113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2029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вып.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16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311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113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2030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вып.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16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311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113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18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Итого</w:t>
            </w:r>
          </w:p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>
          <w:trHeight w:val="416" w:hRule="atLeast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2.4.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Оснащение тревожной кнопкой муниципальных учреждений города</w:t>
            </w:r>
          </w:p>
        </w:tc>
        <w:tc>
          <w:tcPr>
            <w:tcW w:w="311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ГО, ЧС и ОБ администрации города</w:t>
            </w:r>
          </w:p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Количество мун. Учреждений, оборудованных тревожной кнопкой</w:t>
            </w: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2023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11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16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311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113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2024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11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16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311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113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2025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11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16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311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113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2026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11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16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311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113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2027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11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16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311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113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2028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11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16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311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113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2029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11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16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311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113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2030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11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16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311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113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18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Итого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>
          <w:trHeight w:val="345" w:hRule="atLeast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2.5.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Исполнение государственных полномочий по обеспечению деятельности административных комиссий</w:t>
            </w:r>
          </w:p>
        </w:tc>
        <w:tc>
          <w:tcPr>
            <w:tcW w:w="311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Административная комиссия администрации города</w:t>
            </w:r>
          </w:p>
        </w:tc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Недопущение террористических акций на территории города</w:t>
            </w: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2023</w:t>
            </w:r>
          </w:p>
        </w:tc>
        <w:tc>
          <w:tcPr>
            <w:tcW w:w="10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273,0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273,0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>
          <w:trHeight w:val="345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1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3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2024</w:t>
            </w:r>
          </w:p>
        </w:tc>
        <w:tc>
          <w:tcPr>
            <w:tcW w:w="10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275,0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275,0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>
          <w:trHeight w:val="315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1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3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2025</w:t>
            </w:r>
          </w:p>
        </w:tc>
        <w:tc>
          <w:tcPr>
            <w:tcW w:w="10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275,0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275,0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>
          <w:trHeight w:val="315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1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3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2026</w:t>
            </w:r>
          </w:p>
        </w:tc>
        <w:tc>
          <w:tcPr>
            <w:tcW w:w="10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275,0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275,0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>
          <w:trHeight w:val="323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1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3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2027</w:t>
            </w:r>
          </w:p>
        </w:tc>
        <w:tc>
          <w:tcPr>
            <w:tcW w:w="10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275,0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275,0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330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1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3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2028</w:t>
            </w:r>
          </w:p>
        </w:tc>
        <w:tc>
          <w:tcPr>
            <w:tcW w:w="10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275,0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275,0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330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1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39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846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2029</w:t>
            </w:r>
          </w:p>
        </w:tc>
        <w:tc>
          <w:tcPr>
            <w:tcW w:w="10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275,0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275,0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330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1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39" w:type="dxa"/>
            <w:gridSpan w:val="2"/>
            <w:vMerge w:val="continue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846" w:type="dxa"/>
            <w:gridSpan w:val="2"/>
            <w:vMerge w:val="continue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8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2030</w:t>
            </w:r>
          </w:p>
        </w:tc>
        <w:tc>
          <w:tcPr>
            <w:tcW w:w="10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275,0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275,0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330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1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39" w:type="dxa"/>
            <w:gridSpan w:val="2"/>
            <w:vMerge w:val="continue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846" w:type="dxa"/>
            <w:gridSpan w:val="2"/>
            <w:vMerge w:val="continue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18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Итого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2198,0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2198,0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</w:tr>
      <w:tr>
        <w:trPr>
          <w:trHeight w:val="416" w:hRule="atLeast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Итого по подпрограмме</w:t>
            </w:r>
          </w:p>
        </w:tc>
        <w:tc>
          <w:tcPr>
            <w:tcW w:w="311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2023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273,0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273,0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>
          <w:trHeight w:val="408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ind w:right="-108" w:hanging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1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3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2024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275,0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275,0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>
          <w:trHeight w:val="427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ind w:right="-108" w:hanging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1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3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2025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275,0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275,0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>
          <w:trHeight w:val="404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ind w:right="-108" w:hanging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1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3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2026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275,0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275,0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>
          <w:trHeight w:val="425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ind w:right="-108" w:hanging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1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3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2027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275,0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275,0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>
          <w:trHeight w:val="417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ind w:right="-108" w:hanging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1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3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2028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275,0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275,0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>
          <w:trHeight w:val="408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ind w:right="-108" w:hanging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1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3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2029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275,0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275,0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>
          <w:trHeight w:val="414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ind w:right="-108" w:hanging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1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3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2030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275,0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275,0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>
          <w:trHeight w:val="574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ind w:right="-108" w:hanging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69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119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3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Итого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2198,0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2198,0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>
          <w:trHeight w:val="415" w:hRule="atLeast"/>
        </w:trPr>
        <w:tc>
          <w:tcPr>
            <w:tcW w:w="15460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3. Подпрограмма «Повышение безопасности дорожного движения в городе Кирсанове»</w:t>
            </w:r>
          </w:p>
        </w:tc>
      </w:tr>
      <w:tr>
        <w:trPr>
          <w:trHeight w:val="418" w:hRule="atLeast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ind w:right="-108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3.1.</w:t>
            </w:r>
          </w:p>
        </w:tc>
        <w:tc>
          <w:tcPr>
            <w:tcW w:w="279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Проведение городских и участие в областных мероприятиях детей по изучению правил дорожного движения и вопросам профилактики детского дорожно-транспортного травматизма</w:t>
            </w:r>
          </w:p>
        </w:tc>
        <w:tc>
          <w:tcPr>
            <w:tcW w:w="25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образования администрации города, МОМВД России «Кирсановский» (по согласованию)</w:t>
            </w:r>
          </w:p>
        </w:tc>
        <w:tc>
          <w:tcPr>
            <w:tcW w:w="155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Количество образовательных учреждений, принявших участие в конкурсе</w:t>
            </w: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шт.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2023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6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5,46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5,46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397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2024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6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15,0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30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2025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6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15,0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08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2026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6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15,0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15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2027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6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15,0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399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2028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6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15,0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399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2029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6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15,0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399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2030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6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15,0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18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Итого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110,46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110,46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>
          <w:trHeight w:val="416" w:hRule="atLeast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ind w:right="-108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3.2.</w:t>
            </w:r>
          </w:p>
        </w:tc>
        <w:tc>
          <w:tcPr>
            <w:tcW w:w="279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Приобретение оборудования и подготовка учебного класса (группы) в образовательных учреждениях города для обучения правилам дорожного движения</w:t>
            </w:r>
          </w:p>
        </w:tc>
        <w:tc>
          <w:tcPr>
            <w:tcW w:w="25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образования администрации города</w:t>
            </w:r>
          </w:p>
        </w:tc>
        <w:tc>
          <w:tcPr>
            <w:tcW w:w="155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Количество образо-вательных учреждений, оборудованных учебными классами</w:t>
            </w: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шт.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2023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6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20,0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08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2024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6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20,0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27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2025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6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20,0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05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2026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6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20,0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25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2027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6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20,0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19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2028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6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20,0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19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2029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6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20,0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419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2030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6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20,0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561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Итого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160,0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160,0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>
          <w:trHeight w:val="416" w:hRule="atLeast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ind w:right="-108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3.3.</w:t>
            </w:r>
          </w:p>
        </w:tc>
        <w:tc>
          <w:tcPr>
            <w:tcW w:w="279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Установка и замена ограждающих устройств в опасных местах в т. ч. проектные работы</w:t>
            </w:r>
          </w:p>
        </w:tc>
        <w:tc>
          <w:tcPr>
            <w:tcW w:w="25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ГО, ЧС и ОБ администрации города, отдел архитектуры и перспектив развития города, отдел ЖКХ и благоустройства</w:t>
            </w:r>
          </w:p>
        </w:tc>
        <w:tc>
          <w:tcPr>
            <w:tcW w:w="155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Сокращение количества мест концентрации ДТП</w:t>
            </w: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ед.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2023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05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2024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12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2025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17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2026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22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2027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17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2028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17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2029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17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2030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564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Итого</w:t>
            </w:r>
          </w:p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>
          <w:trHeight w:val="443" w:hRule="atLeast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ind w:right="-108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3.4.</w:t>
            </w:r>
          </w:p>
        </w:tc>
        <w:tc>
          <w:tcPr>
            <w:tcW w:w="279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Замена и установка дорожных знаков, внесение изменений в схему размещения дорожных знаков</w:t>
            </w:r>
          </w:p>
        </w:tc>
        <w:tc>
          <w:tcPr>
            <w:tcW w:w="25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ГО, ЧС и ОБ администрации города</w:t>
            </w:r>
          </w:p>
        </w:tc>
        <w:tc>
          <w:tcPr>
            <w:tcW w:w="155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Сокращение количества погибших и пострадавших в ДТП</w:t>
            </w: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чел.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2023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50,0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21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2024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50,0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26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2025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50,0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04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2026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50,0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11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2027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50,0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17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2028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50,0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17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2029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50,0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17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2030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50,0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664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Итого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400,0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400,0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>
          <w:trHeight w:val="442" w:hRule="atLeast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ind w:right="-108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3.5.</w:t>
            </w:r>
          </w:p>
        </w:tc>
        <w:tc>
          <w:tcPr>
            <w:tcW w:w="279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Приобретение, установка, реконструкция и мелкий ремонт светофорных объектов в т.ч. проектные работы</w:t>
            </w:r>
          </w:p>
        </w:tc>
        <w:tc>
          <w:tcPr>
            <w:tcW w:w="25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ГО, ЧС и ОБ администрации города</w:t>
            </w:r>
          </w:p>
        </w:tc>
        <w:tc>
          <w:tcPr>
            <w:tcW w:w="155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Сокращение количества погибших и пострадавших в ДТП</w:t>
            </w: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чел.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2023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22,04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22,04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07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2024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12,5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12,5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27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2025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12,5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12,5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05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2026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12,5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12,5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24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2027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12,5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12,5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17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2028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12,5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12,5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17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2029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12,5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12,5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17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2030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12,5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12,5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561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Итого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109,54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109,54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>
          <w:trHeight w:val="418" w:hRule="atLeast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ind w:right="-108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3.6.</w:t>
            </w:r>
          </w:p>
        </w:tc>
        <w:tc>
          <w:tcPr>
            <w:tcW w:w="279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Нанесение горизонтальной дорожной разметки</w:t>
            </w:r>
          </w:p>
        </w:tc>
        <w:tc>
          <w:tcPr>
            <w:tcW w:w="25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ГО, ЧС и ОБ администрации города</w:t>
            </w:r>
          </w:p>
        </w:tc>
        <w:tc>
          <w:tcPr>
            <w:tcW w:w="155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Сокращение количества погибших и пострадавших в ДТП</w:t>
            </w: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чел.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2023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1372,5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1372,5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24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2024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1372,5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1372,5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17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2025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1372,5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1372,5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395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2026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1372,5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1372,5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28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2027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1372,5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1372,5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06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2028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1372,5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1372,5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06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2029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1372,5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1372,5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06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2030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1372,5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1372,5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706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Итого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ind w:right="-108" w:hanging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b/>
                <w:color w:val="000000"/>
              </w:rPr>
              <w:t>10980,0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b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b/>
                <w:color w:val="000000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ind w:right="-108" w:hanging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b/>
                <w:color w:val="000000"/>
              </w:rPr>
              <w:t>10980,0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ind w:right="-108"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>
          <w:trHeight w:val="418" w:hRule="atLeast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ind w:right="-108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3.7.</w:t>
            </w:r>
          </w:p>
        </w:tc>
        <w:tc>
          <w:tcPr>
            <w:tcW w:w="279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Приобретение искусственных неровностей</w:t>
            </w:r>
          </w:p>
        </w:tc>
        <w:tc>
          <w:tcPr>
            <w:tcW w:w="25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ГО, ЧС и ОБ администрации города</w:t>
            </w:r>
          </w:p>
        </w:tc>
        <w:tc>
          <w:tcPr>
            <w:tcW w:w="155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Сокращение количества погибших и пострадавших в ДТП</w:t>
            </w: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чел.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2023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30,0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18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2024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30,0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18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2025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30,0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18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2026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30,0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18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2027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30,0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18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2028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30,0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18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2029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30,0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18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2030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30,0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666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Итого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240,0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240,0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>
          <w:trHeight w:val="418" w:hRule="atLeast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79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Итого по подпрограмме</w:t>
            </w:r>
          </w:p>
        </w:tc>
        <w:tc>
          <w:tcPr>
            <w:tcW w:w="25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155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  <w:p>
            <w:pPr>
              <w:pStyle w:val="Normal"/>
              <w:widowControl w:val="false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  <w:p>
            <w:pPr>
              <w:pStyle w:val="Normal"/>
              <w:widowControl w:val="false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  <w:p>
            <w:pPr>
              <w:pStyle w:val="Normal"/>
              <w:widowControl w:val="false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  <w:p>
            <w:pPr>
              <w:pStyle w:val="Normal"/>
              <w:widowControl w:val="false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  <w:p>
            <w:pPr>
              <w:pStyle w:val="Normal"/>
              <w:widowControl w:val="false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  <w:p>
            <w:pPr>
              <w:pStyle w:val="Normal"/>
              <w:widowControl w:val="false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  <w:p>
            <w:pPr>
              <w:pStyle w:val="Normal"/>
              <w:widowControl w:val="false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  <w:p>
            <w:pPr>
              <w:pStyle w:val="Normal"/>
              <w:widowControl w:val="false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2023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1500,0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1500,0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>
          <w:trHeight w:val="418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2024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1500,0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1500,0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>
          <w:trHeight w:val="418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2025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1500,0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1500,0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>
          <w:trHeight w:val="418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2026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1500,0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1500,0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>
          <w:trHeight w:val="418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2027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1500,0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1500,0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>
          <w:trHeight w:val="418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2028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1500,0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1500,0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>
          <w:trHeight w:val="418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2029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1500,0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1500,0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>
          <w:trHeight w:val="418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2030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1500,0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1500,0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>
          <w:trHeight w:val="395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Итого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12000,0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12000,0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>
          <w:trHeight w:val="418" w:hRule="atLeast"/>
        </w:trPr>
        <w:tc>
          <w:tcPr>
            <w:tcW w:w="15460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4. Подпрограмма «Подготовка граждан к военной службе в городе Кирсанове»</w:t>
            </w:r>
          </w:p>
        </w:tc>
      </w:tr>
      <w:tr>
        <w:trPr>
          <w:trHeight w:val="418" w:hRule="atLeast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4.1.</w:t>
            </w:r>
          </w:p>
        </w:tc>
        <w:tc>
          <w:tcPr>
            <w:tcW w:w="279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Организация и проведение 5-дневных учебных сборов:</w:t>
            </w:r>
          </w:p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учащихся 10 классов муниципальных общеобразовательных учреждений</w:t>
            </w:r>
          </w:p>
        </w:tc>
        <w:tc>
          <w:tcPr>
            <w:tcW w:w="25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 образования администрации города</w:t>
            </w:r>
          </w:p>
        </w:tc>
        <w:tc>
          <w:tcPr>
            <w:tcW w:w="155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Количество учащихся 10 классов</w:t>
            </w: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Человек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2023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18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2024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18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2025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18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2026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18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2027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18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2028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18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2029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18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2030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18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Итого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>
          <w:trHeight w:val="418" w:hRule="atLeast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79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Итого по подпрограмме</w:t>
            </w:r>
          </w:p>
        </w:tc>
        <w:tc>
          <w:tcPr>
            <w:tcW w:w="25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155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2023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>
          <w:trHeight w:val="418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2024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>
          <w:trHeight w:val="418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2025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>
          <w:trHeight w:val="418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2026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>
          <w:trHeight w:val="418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2027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>
          <w:trHeight w:val="418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2028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>
          <w:trHeight w:val="418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2029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>
          <w:trHeight w:val="418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2030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>
          <w:trHeight w:val="418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Итого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>
          <w:trHeight w:val="418" w:hRule="atLeast"/>
        </w:trPr>
        <w:tc>
          <w:tcPr>
            <w:tcW w:w="15460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5. «Прочие основные мероприятия муниципальной программы, не вошедшие в подпрограммы в городе Кирсанове»</w:t>
            </w:r>
          </w:p>
        </w:tc>
      </w:tr>
      <w:tr>
        <w:trPr>
          <w:trHeight w:val="418" w:hRule="atLeast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5.1.</w:t>
            </w:r>
          </w:p>
        </w:tc>
        <w:tc>
          <w:tcPr>
            <w:tcW w:w="279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5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Юридический отдел администрации города</w:t>
            </w:r>
          </w:p>
        </w:tc>
        <w:tc>
          <w:tcPr>
            <w:tcW w:w="155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Количество граждан</w:t>
            </w: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Человек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2023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0,4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18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2024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0,4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18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2025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0,4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18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2026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18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2027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18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2028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18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2029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18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2030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>
          <w:trHeight w:val="418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Итого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1,2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1,2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>
          <w:trHeight w:val="418" w:hRule="atLeast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79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Итого по подпрограмме</w:t>
            </w:r>
          </w:p>
        </w:tc>
        <w:tc>
          <w:tcPr>
            <w:tcW w:w="25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155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2023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0,4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0,4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>
          <w:trHeight w:val="418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2024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0,4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0,4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>
          <w:trHeight w:val="418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2025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0,4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0,4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>
          <w:trHeight w:val="418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2026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>
          <w:trHeight w:val="418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2027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>
          <w:trHeight w:val="418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2028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>
          <w:trHeight w:val="418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2029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>
          <w:trHeight w:val="418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2030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>
          <w:trHeight w:val="418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Итого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1,2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1,2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>
          <w:trHeight w:val="418" w:hRule="atLeast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79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Всего по муниципальной программе</w:t>
            </w:r>
          </w:p>
        </w:tc>
        <w:tc>
          <w:tcPr>
            <w:tcW w:w="25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155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2023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1823,4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0,4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273,0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1550,0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>
          <w:trHeight w:val="418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2024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1825,4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0,4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275,0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1550,0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>
          <w:trHeight w:val="418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2025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1825,4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0,4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275,0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1550,0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>
          <w:trHeight w:val="418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2026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1825,0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275,0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1550,0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>
          <w:trHeight w:val="418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2027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1825,0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275,0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1550,0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>
          <w:trHeight w:val="418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2028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1825,0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275,0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1550,0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>
          <w:trHeight w:val="418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2029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1825,0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275,0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1550,0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>
          <w:trHeight w:val="418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2030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1825,0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275,0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1550,0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>
          <w:trHeight w:val="501" w:hRule="atLeast"/>
        </w:trPr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79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52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Итого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14599,2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0,4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2198,0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12400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</w:tbl>
    <w:p>
      <w:pPr>
        <w:pStyle w:val="Normal"/>
        <w:spacing w:before="100" w:after="20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tLeast" w:line="20" w:beforeAutospacing="1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tabs>
          <w:tab w:val="clear" w:pos="708"/>
          <w:tab w:val="left" w:pos="10860" w:leader="none"/>
        </w:tabs>
        <w:spacing w:lineRule="atLeast" w:line="20" w:beforeAutospacing="1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</w:r>
    </w:p>
    <w:p>
      <w:pPr>
        <w:pStyle w:val="Normal"/>
        <w:tabs>
          <w:tab w:val="clear" w:pos="708"/>
          <w:tab w:val="left" w:pos="10860" w:leader="none"/>
        </w:tabs>
        <w:spacing w:lineRule="atLeast" w:line="20" w:beforeAutospacing="1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tabs>
          <w:tab w:val="clear" w:pos="708"/>
          <w:tab w:val="left" w:pos="10860" w:leader="none"/>
        </w:tabs>
        <w:spacing w:lineRule="atLeast" w:line="20" w:beforeAutospacing="1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tabs>
          <w:tab w:val="clear" w:pos="708"/>
          <w:tab w:val="left" w:pos="10860" w:leader="none"/>
        </w:tabs>
        <w:spacing w:lineRule="atLeast" w:line="20" w:beforeAutospacing="1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tabs>
          <w:tab w:val="clear" w:pos="708"/>
          <w:tab w:val="left" w:pos="10860" w:leader="none"/>
        </w:tabs>
        <w:spacing w:lineRule="atLeast" w:line="20" w:beforeAutospacing="1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tabs>
          <w:tab w:val="clear" w:pos="708"/>
          <w:tab w:val="left" w:pos="10860" w:leader="none"/>
        </w:tabs>
        <w:spacing w:lineRule="atLeast" w:line="20" w:beforeAutospacing="1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tabs>
          <w:tab w:val="clear" w:pos="708"/>
          <w:tab w:val="left" w:pos="10860" w:leader="none"/>
        </w:tabs>
        <w:spacing w:lineRule="atLeast" w:line="20" w:beforeAutospacing="1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tabs>
          <w:tab w:val="clear" w:pos="708"/>
          <w:tab w:val="left" w:pos="10860" w:leader="none"/>
        </w:tabs>
        <w:spacing w:lineRule="atLeast" w:line="20" w:beforeAutospacing="1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tabs>
          <w:tab w:val="clear" w:pos="708"/>
          <w:tab w:val="left" w:pos="10860" w:leader="none"/>
        </w:tabs>
        <w:spacing w:lineRule="atLeast" w:line="20" w:beforeAutospacing="1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tabs>
          <w:tab w:val="clear" w:pos="708"/>
          <w:tab w:val="left" w:pos="10860" w:leader="none"/>
        </w:tabs>
        <w:spacing w:lineRule="atLeast" w:line="20" w:beforeAutospacing="1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tabs>
          <w:tab w:val="clear" w:pos="708"/>
          <w:tab w:val="left" w:pos="10860" w:leader="none"/>
        </w:tabs>
        <w:spacing w:lineRule="atLeast" w:line="20" w:beforeAutospacing="1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tabs>
          <w:tab w:val="clear" w:pos="708"/>
          <w:tab w:val="left" w:pos="10860" w:leader="none"/>
        </w:tabs>
        <w:spacing w:lineRule="atLeast" w:line="20" w:beforeAutospacing="1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Spacing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        </w:t>
      </w:r>
    </w:p>
    <w:p>
      <w:pPr>
        <w:pStyle w:val="NoSpacing"/>
        <w:jc w:val="right"/>
        <w:rPr>
          <w:szCs w:val="28"/>
        </w:rPr>
      </w:pPr>
      <w:r>
        <w:rPr>
          <w:szCs w:val="28"/>
        </w:rPr>
        <w:t xml:space="preserve">                  </w:t>
      </w:r>
    </w:p>
    <w:p>
      <w:pPr>
        <w:pStyle w:val="NoSpacing"/>
        <w:jc w:val="right"/>
        <w:rPr>
          <w:szCs w:val="28"/>
        </w:rPr>
      </w:pPr>
      <w:r>
        <w:rPr>
          <w:szCs w:val="28"/>
        </w:rPr>
        <w:t xml:space="preserve">           </w:t>
      </w:r>
      <w:r>
        <w:rPr>
          <w:szCs w:val="28"/>
        </w:rPr>
        <w:t>ПРИЛОЖЕНИЕ №3</w:t>
      </w:r>
    </w:p>
    <w:p>
      <w:pPr>
        <w:pStyle w:val="NoSpacing"/>
        <w:rPr>
          <w:szCs w:val="28"/>
        </w:rPr>
      </w:pPr>
      <w:r>
        <w:rPr>
          <w:szCs w:val="28"/>
        </w:rPr>
        <w:tab/>
        <w:tab/>
        <w:tab/>
        <w:tab/>
        <w:tab/>
        <w:tab/>
        <w:tab/>
        <w:tab/>
        <w:tab/>
        <w:tab/>
        <w:tab/>
        <w:t xml:space="preserve">к муниципальной программе «Обеспечение безопасности </w:t>
        <w:tab/>
        <w:tab/>
        <w:tab/>
        <w:tab/>
        <w:tab/>
        <w:tab/>
        <w:tab/>
        <w:tab/>
        <w:tab/>
        <w:tab/>
        <w:tab/>
        <w:tab/>
        <w:t xml:space="preserve">населения города Кирсанова Тамбовской области и </w:t>
        <w:tab/>
        <w:tab/>
        <w:tab/>
        <w:tab/>
        <w:tab/>
        <w:tab/>
        <w:tab/>
        <w:tab/>
        <w:tab/>
        <w:tab/>
        <w:tab/>
        <w:tab/>
        <w:tab/>
        <w:t xml:space="preserve">противодействие </w:t>
        <w:tab/>
        <w:t>преступности на 2015-2030 годы»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РЕСУРСНОЕ ОБЕСПЕЧЕНИЕ 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 </w:t>
      </w:r>
      <w:r>
        <w:rPr>
          <w:rFonts w:cs="Times New Roman" w:ascii="Times New Roman" w:hAnsi="Times New Roman"/>
          <w:b/>
          <w:sz w:val="28"/>
          <w:szCs w:val="28"/>
        </w:rPr>
        <w:t>реализации муниципальной программы «Обеспечение безопасности населения города Кирсанова Тамбовской области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и противодействие преступности на 2015-2030 годы»  1 этап реализации (2015-2022)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14804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1613"/>
        <w:gridCol w:w="2890"/>
        <w:gridCol w:w="2126"/>
        <w:gridCol w:w="1559"/>
        <w:gridCol w:w="1418"/>
        <w:gridCol w:w="1417"/>
        <w:gridCol w:w="1418"/>
        <w:gridCol w:w="1134"/>
        <w:gridCol w:w="1227"/>
      </w:tblGrid>
      <w:tr>
        <w:trPr/>
        <w:tc>
          <w:tcPr>
            <w:tcW w:w="16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Статус</w:t>
            </w:r>
          </w:p>
        </w:tc>
        <w:tc>
          <w:tcPr>
            <w:tcW w:w="28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Наименование программы, подпрограммы муниципальной программы, основного мероприятия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Ответственный исполнитель, соисполнители</w:t>
            </w:r>
          </w:p>
        </w:tc>
        <w:tc>
          <w:tcPr>
            <w:tcW w:w="817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Объемы финансирования, тыс. рублей, в т.ч.</w:t>
            </w:r>
          </w:p>
        </w:tc>
      </w:tr>
      <w:tr>
        <w:trPr/>
        <w:tc>
          <w:tcPr>
            <w:tcW w:w="16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cs="Times New Roman" w:ascii="Times New Roman" w:hAnsi="Times New Roman"/>
                <w:sz w:val="20"/>
                <w:szCs w:val="24"/>
              </w:rPr>
            </w:r>
          </w:p>
        </w:tc>
        <w:tc>
          <w:tcPr>
            <w:tcW w:w="28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по годам, всего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Бюджет Тамбовской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Бюджет города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внебюджетные средства</w:t>
            </w:r>
          </w:p>
        </w:tc>
      </w:tr>
      <w:tr>
        <w:trPr/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1</w:t>
            </w:r>
          </w:p>
        </w:tc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8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9</w:t>
            </w:r>
          </w:p>
        </w:tc>
      </w:tr>
      <w:tr>
        <w:trPr/>
        <w:tc>
          <w:tcPr>
            <w:tcW w:w="16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Муниципальная программа</w:t>
            </w:r>
          </w:p>
        </w:tc>
        <w:tc>
          <w:tcPr>
            <w:tcW w:w="28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bCs/>
                <w:spacing w:val="-1"/>
                <w:sz w:val="20"/>
              </w:rPr>
              <w:t>«Обеспечение безопасности населения города Кирсанова Тамбовской области и противодействие преступности на 2015 – 2030 годы»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2015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980,85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980,85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</w:tr>
      <w:tr>
        <w:trPr/>
        <w:tc>
          <w:tcPr>
            <w:tcW w:w="16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cs="Times New Roman" w:ascii="Times New Roman" w:hAnsi="Times New Roman"/>
                <w:sz w:val="20"/>
                <w:szCs w:val="24"/>
              </w:rPr>
            </w:r>
          </w:p>
        </w:tc>
        <w:tc>
          <w:tcPr>
            <w:tcW w:w="28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2016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2350,0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2350,0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</w:tr>
      <w:tr>
        <w:trPr/>
        <w:tc>
          <w:tcPr>
            <w:tcW w:w="16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cs="Times New Roman" w:ascii="Times New Roman" w:hAnsi="Times New Roman"/>
                <w:sz w:val="20"/>
                <w:szCs w:val="24"/>
              </w:rPr>
            </w:r>
          </w:p>
        </w:tc>
        <w:tc>
          <w:tcPr>
            <w:tcW w:w="28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2017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1113,0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1113,0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</w:tr>
      <w:tr>
        <w:trPr/>
        <w:tc>
          <w:tcPr>
            <w:tcW w:w="16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cs="Times New Roman" w:ascii="Times New Roman" w:hAnsi="Times New Roman"/>
                <w:sz w:val="20"/>
                <w:szCs w:val="24"/>
              </w:rPr>
            </w:r>
          </w:p>
        </w:tc>
        <w:tc>
          <w:tcPr>
            <w:tcW w:w="28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2018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988,1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988,1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</w:tr>
      <w:tr>
        <w:trPr/>
        <w:tc>
          <w:tcPr>
            <w:tcW w:w="16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cs="Times New Roman" w:ascii="Times New Roman" w:hAnsi="Times New Roman"/>
                <w:sz w:val="20"/>
                <w:szCs w:val="24"/>
              </w:rPr>
            </w:r>
          </w:p>
        </w:tc>
        <w:tc>
          <w:tcPr>
            <w:tcW w:w="28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2019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1336,9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190,0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1146,9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</w:tr>
      <w:tr>
        <w:trPr/>
        <w:tc>
          <w:tcPr>
            <w:tcW w:w="16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cs="Times New Roman" w:ascii="Times New Roman" w:hAnsi="Times New Roman"/>
                <w:sz w:val="20"/>
                <w:szCs w:val="24"/>
              </w:rPr>
            </w:r>
          </w:p>
        </w:tc>
        <w:tc>
          <w:tcPr>
            <w:tcW w:w="28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2020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759,3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211,1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548,2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</w:tr>
      <w:tr>
        <w:trPr/>
        <w:tc>
          <w:tcPr>
            <w:tcW w:w="16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cs="Times New Roman" w:ascii="Times New Roman" w:hAnsi="Times New Roman"/>
                <w:sz w:val="20"/>
                <w:szCs w:val="24"/>
              </w:rPr>
            </w:r>
          </w:p>
        </w:tc>
        <w:tc>
          <w:tcPr>
            <w:tcW w:w="28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2021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919,5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191,1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728,5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</w:tr>
      <w:tr>
        <w:trPr/>
        <w:tc>
          <w:tcPr>
            <w:tcW w:w="16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cs="Times New Roman" w:ascii="Times New Roman" w:hAnsi="Times New Roman"/>
                <w:sz w:val="20"/>
                <w:szCs w:val="24"/>
              </w:rPr>
            </w:r>
          </w:p>
        </w:tc>
        <w:tc>
          <w:tcPr>
            <w:tcW w:w="28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2022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1478,5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266,2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1212,3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</w:tr>
      <w:tr>
        <w:trPr/>
        <w:tc>
          <w:tcPr>
            <w:tcW w:w="16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cs="Times New Roman" w:ascii="Times New Roman" w:hAnsi="Times New Roman"/>
                <w:sz w:val="20"/>
                <w:szCs w:val="24"/>
              </w:rPr>
            </w:r>
          </w:p>
        </w:tc>
        <w:tc>
          <w:tcPr>
            <w:tcW w:w="28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9926,15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858,4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9067,85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-</w:t>
            </w:r>
          </w:p>
        </w:tc>
      </w:tr>
      <w:tr>
        <w:trPr/>
        <w:tc>
          <w:tcPr>
            <w:tcW w:w="16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b/>
                <w:b/>
                <w:sz w:val="20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4"/>
              </w:rPr>
            </w:r>
          </w:p>
        </w:tc>
        <w:tc>
          <w:tcPr>
            <w:tcW w:w="28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ответственный исполнитель – отдел ГО, ЧС и ОБ  администрации города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2015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960,85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960,85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</w:tr>
      <w:tr>
        <w:trPr/>
        <w:tc>
          <w:tcPr>
            <w:tcW w:w="16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cs="Times New Roman" w:ascii="Times New Roman" w:hAnsi="Times New Roman"/>
                <w:sz w:val="20"/>
                <w:szCs w:val="24"/>
              </w:rPr>
            </w:r>
          </w:p>
        </w:tc>
        <w:tc>
          <w:tcPr>
            <w:tcW w:w="28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2016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2330,0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2330,0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</w:tr>
      <w:tr>
        <w:trPr/>
        <w:tc>
          <w:tcPr>
            <w:tcW w:w="16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cs="Times New Roman" w:ascii="Times New Roman" w:hAnsi="Times New Roman"/>
                <w:sz w:val="20"/>
                <w:szCs w:val="24"/>
              </w:rPr>
            </w:r>
          </w:p>
        </w:tc>
        <w:tc>
          <w:tcPr>
            <w:tcW w:w="28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2017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1073,0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1073,0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</w:tr>
      <w:tr>
        <w:trPr/>
        <w:tc>
          <w:tcPr>
            <w:tcW w:w="16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8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2018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946,1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946,1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</w:tr>
      <w:tr>
        <w:trPr/>
        <w:tc>
          <w:tcPr>
            <w:tcW w:w="16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8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2019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</w:rPr>
              <w:t>1121,9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1121,9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</w:tr>
      <w:tr>
        <w:trPr/>
        <w:tc>
          <w:tcPr>
            <w:tcW w:w="16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8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2020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538,2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538,2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</w:tr>
      <w:tr>
        <w:trPr/>
        <w:tc>
          <w:tcPr>
            <w:tcW w:w="16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8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2021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728,5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728,5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</w:tr>
      <w:tr>
        <w:trPr/>
        <w:tc>
          <w:tcPr>
            <w:tcW w:w="16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8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2022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1212,21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1212,21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</w:tr>
      <w:tr>
        <w:trPr/>
        <w:tc>
          <w:tcPr>
            <w:tcW w:w="16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8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8910,76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8910,76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-</w:t>
            </w:r>
          </w:p>
        </w:tc>
      </w:tr>
      <w:tr>
        <w:trPr/>
        <w:tc>
          <w:tcPr>
            <w:tcW w:w="16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b/>
                <w:b/>
                <w:sz w:val="20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</w:r>
          </w:p>
        </w:tc>
        <w:tc>
          <w:tcPr>
            <w:tcW w:w="28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соисполнитель – отдел образования администрации города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2015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20,0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20,0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</w:tr>
      <w:tr>
        <w:trPr/>
        <w:tc>
          <w:tcPr>
            <w:tcW w:w="16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8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2016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20,0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20,0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</w:tr>
      <w:tr>
        <w:trPr/>
        <w:tc>
          <w:tcPr>
            <w:tcW w:w="16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8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2017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40,0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40,0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</w:tr>
      <w:tr>
        <w:trPr/>
        <w:tc>
          <w:tcPr>
            <w:tcW w:w="16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8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2018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42,0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42,0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</w:tr>
      <w:tr>
        <w:trPr/>
        <w:tc>
          <w:tcPr>
            <w:tcW w:w="16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8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2019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25,0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25,0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</w:tr>
      <w:tr>
        <w:trPr/>
        <w:tc>
          <w:tcPr>
            <w:tcW w:w="16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8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2020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10,0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</w:tr>
      <w:tr>
        <w:trPr/>
        <w:tc>
          <w:tcPr>
            <w:tcW w:w="16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8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2021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</w:tr>
      <w:tr>
        <w:trPr/>
        <w:tc>
          <w:tcPr>
            <w:tcW w:w="16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8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2022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</w:tr>
      <w:tr>
        <w:trPr/>
        <w:tc>
          <w:tcPr>
            <w:tcW w:w="16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8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157,0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157,0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-</w:t>
            </w:r>
          </w:p>
        </w:tc>
      </w:tr>
      <w:tr>
        <w:trPr/>
        <w:tc>
          <w:tcPr>
            <w:tcW w:w="16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b/>
                <w:b/>
                <w:sz w:val="20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</w:r>
          </w:p>
        </w:tc>
        <w:tc>
          <w:tcPr>
            <w:tcW w:w="28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соисполнитель – административная комиссия администрации города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2015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</w:tr>
      <w:tr>
        <w:trPr/>
        <w:tc>
          <w:tcPr>
            <w:tcW w:w="16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8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2016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</w:tr>
      <w:tr>
        <w:trPr/>
        <w:tc>
          <w:tcPr>
            <w:tcW w:w="16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8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2017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</w:tr>
      <w:tr>
        <w:trPr/>
        <w:tc>
          <w:tcPr>
            <w:tcW w:w="16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8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2018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</w:tr>
      <w:tr>
        <w:trPr/>
        <w:tc>
          <w:tcPr>
            <w:tcW w:w="16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8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2019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190,0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190,0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</w:tr>
      <w:tr>
        <w:trPr/>
        <w:tc>
          <w:tcPr>
            <w:tcW w:w="16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8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2020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211,1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211,1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</w:tr>
      <w:tr>
        <w:trPr/>
        <w:tc>
          <w:tcPr>
            <w:tcW w:w="16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8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2021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191,1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191,1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</w:tr>
      <w:tr>
        <w:trPr/>
        <w:tc>
          <w:tcPr>
            <w:tcW w:w="16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8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2022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266,2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266,2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</w:tr>
      <w:tr>
        <w:trPr/>
        <w:tc>
          <w:tcPr>
            <w:tcW w:w="16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8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858,4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858,4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-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-</w:t>
            </w:r>
          </w:p>
        </w:tc>
      </w:tr>
      <w:tr>
        <w:trPr/>
        <w:tc>
          <w:tcPr>
            <w:tcW w:w="16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Подпрограмма муниципальной программы</w:t>
            </w:r>
          </w:p>
        </w:tc>
        <w:tc>
          <w:tcPr>
            <w:tcW w:w="28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«Обеспечение общественного порядка и противодействие преступности в городе Кирсанове на 2015 – 2030 годы»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2015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99,85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99,85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</w:tr>
      <w:tr>
        <w:trPr/>
        <w:tc>
          <w:tcPr>
            <w:tcW w:w="16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8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2016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180,0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180,0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</w:tr>
      <w:tr>
        <w:trPr/>
        <w:tc>
          <w:tcPr>
            <w:tcW w:w="16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8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2017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110,0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110,0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</w:tr>
      <w:tr>
        <w:trPr/>
        <w:tc>
          <w:tcPr>
            <w:tcW w:w="16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8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2018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218,5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218,5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</w:tr>
      <w:tr>
        <w:trPr/>
        <w:tc>
          <w:tcPr>
            <w:tcW w:w="16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8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2019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57,6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57,6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</w:tr>
      <w:tr>
        <w:trPr/>
        <w:tc>
          <w:tcPr>
            <w:tcW w:w="16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8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2020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4,0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4,0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</w:tr>
      <w:tr>
        <w:trPr/>
        <w:tc>
          <w:tcPr>
            <w:tcW w:w="16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8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2021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</w:tr>
      <w:tr>
        <w:trPr/>
        <w:tc>
          <w:tcPr>
            <w:tcW w:w="16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8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2022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81,3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81,3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</w:tr>
      <w:tr>
        <w:trPr/>
        <w:tc>
          <w:tcPr>
            <w:tcW w:w="16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8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751,25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751,25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-</w:t>
            </w:r>
          </w:p>
        </w:tc>
      </w:tr>
      <w:tr>
        <w:trPr/>
        <w:tc>
          <w:tcPr>
            <w:tcW w:w="16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b/>
                <w:b/>
                <w:sz w:val="20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</w:r>
          </w:p>
        </w:tc>
        <w:tc>
          <w:tcPr>
            <w:tcW w:w="28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</w:rPr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</w:rPr>
              <w:t>ответственный исполнитель –отдел ГО, ЧС и ОБ иадминистрации города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2015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99,85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99,85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</w:tr>
      <w:tr>
        <w:trPr/>
        <w:tc>
          <w:tcPr>
            <w:tcW w:w="16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8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2016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180,0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180,0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</w:tr>
      <w:tr>
        <w:trPr/>
        <w:tc>
          <w:tcPr>
            <w:tcW w:w="16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8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2017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110,0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110,0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</w:tr>
      <w:tr>
        <w:trPr/>
        <w:tc>
          <w:tcPr>
            <w:tcW w:w="16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8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2018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218,5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218,5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</w:tr>
      <w:tr>
        <w:trPr/>
        <w:tc>
          <w:tcPr>
            <w:tcW w:w="16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8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2019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57,6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57,6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</w:tr>
      <w:tr>
        <w:trPr/>
        <w:tc>
          <w:tcPr>
            <w:tcW w:w="16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8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2020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4,0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4,0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</w:tr>
      <w:tr>
        <w:trPr/>
        <w:tc>
          <w:tcPr>
            <w:tcW w:w="16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8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2021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</w:tr>
      <w:tr>
        <w:trPr/>
        <w:tc>
          <w:tcPr>
            <w:tcW w:w="16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8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2022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50,0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50,0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</w:tr>
      <w:tr>
        <w:trPr/>
        <w:tc>
          <w:tcPr>
            <w:tcW w:w="16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8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719,95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719,95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-</w:t>
            </w:r>
          </w:p>
        </w:tc>
      </w:tr>
      <w:tr>
        <w:trPr/>
        <w:tc>
          <w:tcPr>
            <w:tcW w:w="16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Подпрограмма муниципальной программы</w:t>
            </w:r>
          </w:p>
        </w:tc>
        <w:tc>
          <w:tcPr>
            <w:tcW w:w="28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«Противодействие терроризму и экстремизму в городе Кирсанове на 2015 – 2030 годы»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2015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0,0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</w:tr>
      <w:tr>
        <w:trPr/>
        <w:tc>
          <w:tcPr>
            <w:tcW w:w="16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8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2016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0,0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</w:tr>
      <w:tr>
        <w:trPr/>
        <w:tc>
          <w:tcPr>
            <w:tcW w:w="16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8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2017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110,0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110,0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</w:tr>
      <w:tr>
        <w:trPr/>
        <w:tc>
          <w:tcPr>
            <w:tcW w:w="16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8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2018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120,0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120,0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</w:tr>
      <w:tr>
        <w:trPr/>
        <w:tc>
          <w:tcPr>
            <w:tcW w:w="16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8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2019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230,0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190,0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40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</w:tr>
      <w:tr>
        <w:trPr/>
        <w:tc>
          <w:tcPr>
            <w:tcW w:w="16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8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2020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211,1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211,1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</w:tr>
      <w:tr>
        <w:trPr/>
        <w:tc>
          <w:tcPr>
            <w:tcW w:w="16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8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2021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191,1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191,1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</w:tr>
      <w:tr>
        <w:trPr/>
        <w:tc>
          <w:tcPr>
            <w:tcW w:w="16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8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2022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266,2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266,2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</w:tr>
      <w:tr>
        <w:trPr/>
        <w:tc>
          <w:tcPr>
            <w:tcW w:w="16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8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1128,4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858,4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270,0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-</w:t>
            </w:r>
          </w:p>
        </w:tc>
      </w:tr>
      <w:tr>
        <w:trPr/>
        <w:tc>
          <w:tcPr>
            <w:tcW w:w="16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b/>
                <w:b/>
                <w:sz w:val="20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</w:r>
          </w:p>
        </w:tc>
        <w:tc>
          <w:tcPr>
            <w:tcW w:w="28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ответственный исполнитель – отдел ГО, ЧС и ОБ администрации города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2015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0,0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</w:tr>
      <w:tr>
        <w:trPr/>
        <w:tc>
          <w:tcPr>
            <w:tcW w:w="16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8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2016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0,0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</w:tr>
      <w:tr>
        <w:trPr/>
        <w:tc>
          <w:tcPr>
            <w:tcW w:w="16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8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2017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110,0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110,0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</w:tr>
      <w:tr>
        <w:trPr/>
        <w:tc>
          <w:tcPr>
            <w:tcW w:w="16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8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2018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120,0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120,0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</w:tr>
      <w:tr>
        <w:trPr/>
        <w:tc>
          <w:tcPr>
            <w:tcW w:w="16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8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2019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40,0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40,0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</w:tr>
      <w:tr>
        <w:trPr/>
        <w:tc>
          <w:tcPr>
            <w:tcW w:w="16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8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2020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0,0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</w:tr>
      <w:tr>
        <w:trPr/>
        <w:tc>
          <w:tcPr>
            <w:tcW w:w="16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8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2021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0,0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</w:tr>
      <w:tr>
        <w:trPr/>
        <w:tc>
          <w:tcPr>
            <w:tcW w:w="16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8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2022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</w:tr>
      <w:tr>
        <w:trPr/>
        <w:tc>
          <w:tcPr>
            <w:tcW w:w="16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8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270,0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270,0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-</w:t>
            </w:r>
          </w:p>
        </w:tc>
      </w:tr>
      <w:tr>
        <w:trPr/>
        <w:tc>
          <w:tcPr>
            <w:tcW w:w="16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b/>
                <w:b/>
                <w:sz w:val="20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</w:r>
          </w:p>
        </w:tc>
        <w:tc>
          <w:tcPr>
            <w:tcW w:w="28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соисполнитель – административная комиссия администрации города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2015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-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-</w:t>
            </w:r>
          </w:p>
        </w:tc>
      </w:tr>
      <w:tr>
        <w:trPr/>
        <w:tc>
          <w:tcPr>
            <w:tcW w:w="16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b/>
                <w:b/>
                <w:sz w:val="20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</w:r>
          </w:p>
        </w:tc>
        <w:tc>
          <w:tcPr>
            <w:tcW w:w="28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2016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-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-</w:t>
            </w:r>
          </w:p>
        </w:tc>
      </w:tr>
      <w:tr>
        <w:trPr/>
        <w:tc>
          <w:tcPr>
            <w:tcW w:w="16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b/>
                <w:b/>
                <w:sz w:val="20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</w:r>
          </w:p>
        </w:tc>
        <w:tc>
          <w:tcPr>
            <w:tcW w:w="28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2017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-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-</w:t>
            </w:r>
          </w:p>
        </w:tc>
      </w:tr>
      <w:tr>
        <w:trPr/>
        <w:tc>
          <w:tcPr>
            <w:tcW w:w="16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b/>
                <w:b/>
                <w:sz w:val="20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</w:r>
          </w:p>
        </w:tc>
        <w:tc>
          <w:tcPr>
            <w:tcW w:w="28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2018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-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-</w:t>
            </w:r>
          </w:p>
        </w:tc>
      </w:tr>
      <w:tr>
        <w:trPr/>
        <w:tc>
          <w:tcPr>
            <w:tcW w:w="16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b/>
                <w:b/>
                <w:sz w:val="20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</w:r>
          </w:p>
        </w:tc>
        <w:tc>
          <w:tcPr>
            <w:tcW w:w="28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2019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190,0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190,0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-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-</w:t>
            </w:r>
          </w:p>
        </w:tc>
      </w:tr>
      <w:tr>
        <w:trPr/>
        <w:tc>
          <w:tcPr>
            <w:tcW w:w="16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b/>
                <w:b/>
                <w:sz w:val="20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</w:r>
          </w:p>
        </w:tc>
        <w:tc>
          <w:tcPr>
            <w:tcW w:w="28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2020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211,1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211,1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-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-</w:t>
            </w:r>
          </w:p>
        </w:tc>
      </w:tr>
      <w:tr>
        <w:trPr/>
        <w:tc>
          <w:tcPr>
            <w:tcW w:w="16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b/>
                <w:b/>
                <w:sz w:val="20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</w:r>
          </w:p>
        </w:tc>
        <w:tc>
          <w:tcPr>
            <w:tcW w:w="28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2021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191,1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191,1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-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-</w:t>
            </w:r>
          </w:p>
        </w:tc>
      </w:tr>
      <w:tr>
        <w:trPr/>
        <w:tc>
          <w:tcPr>
            <w:tcW w:w="16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b/>
                <w:b/>
                <w:sz w:val="20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</w:r>
          </w:p>
        </w:tc>
        <w:tc>
          <w:tcPr>
            <w:tcW w:w="28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2022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266,2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266,2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-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-</w:t>
            </w:r>
          </w:p>
        </w:tc>
      </w:tr>
      <w:tr>
        <w:trPr/>
        <w:tc>
          <w:tcPr>
            <w:tcW w:w="16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b/>
                <w:b/>
                <w:sz w:val="20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</w:r>
          </w:p>
        </w:tc>
        <w:tc>
          <w:tcPr>
            <w:tcW w:w="28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858,4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858,4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-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-</w:t>
            </w:r>
          </w:p>
        </w:tc>
      </w:tr>
      <w:tr>
        <w:trPr/>
        <w:tc>
          <w:tcPr>
            <w:tcW w:w="16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Подпрограмма муниципальной программы</w:t>
            </w:r>
          </w:p>
        </w:tc>
        <w:tc>
          <w:tcPr>
            <w:tcW w:w="28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«Повышение безопасности дорожного движения в городе Кирсанове на 2015 – 2030 годы»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2015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881,0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881,0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-</w:t>
            </w:r>
          </w:p>
        </w:tc>
      </w:tr>
      <w:tr>
        <w:trPr/>
        <w:tc>
          <w:tcPr>
            <w:tcW w:w="16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b/>
                <w:b/>
                <w:sz w:val="20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</w:r>
          </w:p>
        </w:tc>
        <w:tc>
          <w:tcPr>
            <w:tcW w:w="28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2016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2170,0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2170,0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-</w:t>
            </w:r>
          </w:p>
        </w:tc>
      </w:tr>
      <w:tr>
        <w:trPr/>
        <w:tc>
          <w:tcPr>
            <w:tcW w:w="16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b/>
                <w:b/>
                <w:sz w:val="20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</w:r>
          </w:p>
        </w:tc>
        <w:tc>
          <w:tcPr>
            <w:tcW w:w="28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2017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881,0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881,0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-</w:t>
            </w:r>
          </w:p>
        </w:tc>
      </w:tr>
      <w:tr>
        <w:trPr/>
        <w:tc>
          <w:tcPr>
            <w:tcW w:w="16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b/>
                <w:b/>
                <w:sz w:val="20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</w:r>
          </w:p>
        </w:tc>
        <w:tc>
          <w:tcPr>
            <w:tcW w:w="28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2018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637,6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637,6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-</w:t>
            </w:r>
          </w:p>
        </w:tc>
      </w:tr>
      <w:tr>
        <w:trPr/>
        <w:tc>
          <w:tcPr>
            <w:tcW w:w="16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b/>
                <w:b/>
                <w:sz w:val="20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</w:r>
          </w:p>
        </w:tc>
        <w:tc>
          <w:tcPr>
            <w:tcW w:w="28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2019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1039,3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1039,3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-</w:t>
            </w:r>
          </w:p>
        </w:tc>
      </w:tr>
      <w:tr>
        <w:trPr/>
        <w:tc>
          <w:tcPr>
            <w:tcW w:w="16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b/>
                <w:b/>
                <w:sz w:val="20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</w:r>
          </w:p>
        </w:tc>
        <w:tc>
          <w:tcPr>
            <w:tcW w:w="28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2020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534,2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534,2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-</w:t>
            </w:r>
          </w:p>
        </w:tc>
      </w:tr>
      <w:tr>
        <w:trPr/>
        <w:tc>
          <w:tcPr>
            <w:tcW w:w="16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b/>
                <w:b/>
                <w:sz w:val="20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</w:r>
          </w:p>
        </w:tc>
        <w:tc>
          <w:tcPr>
            <w:tcW w:w="28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2021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728,4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728,4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-</w:t>
            </w:r>
          </w:p>
        </w:tc>
      </w:tr>
      <w:tr>
        <w:trPr/>
        <w:tc>
          <w:tcPr>
            <w:tcW w:w="16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b/>
                <w:b/>
                <w:sz w:val="20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</w:r>
          </w:p>
        </w:tc>
        <w:tc>
          <w:tcPr>
            <w:tcW w:w="28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2022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1131,0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1131,0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-</w:t>
            </w:r>
          </w:p>
        </w:tc>
      </w:tr>
      <w:tr>
        <w:trPr/>
        <w:tc>
          <w:tcPr>
            <w:tcW w:w="16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b/>
                <w:b/>
                <w:sz w:val="20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</w:r>
          </w:p>
        </w:tc>
        <w:tc>
          <w:tcPr>
            <w:tcW w:w="28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8002,6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8002,6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-</w:t>
            </w:r>
          </w:p>
        </w:tc>
      </w:tr>
      <w:tr>
        <w:trPr/>
        <w:tc>
          <w:tcPr>
            <w:tcW w:w="16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b/>
                <w:b/>
                <w:sz w:val="20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</w:r>
          </w:p>
        </w:tc>
        <w:tc>
          <w:tcPr>
            <w:tcW w:w="28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ответственный исполнитель – отдел ГО, ЧС и ОБ администрации города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2015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20"/>
              </w:rPr>
              <w:t>861,0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20"/>
              </w:rPr>
              <w:t>861,0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-</w:t>
            </w:r>
          </w:p>
        </w:tc>
      </w:tr>
      <w:tr>
        <w:trPr/>
        <w:tc>
          <w:tcPr>
            <w:tcW w:w="16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b/>
                <w:b/>
                <w:sz w:val="20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</w:r>
          </w:p>
        </w:tc>
        <w:tc>
          <w:tcPr>
            <w:tcW w:w="28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2016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20"/>
              </w:rPr>
              <w:t>2150,0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20"/>
              </w:rPr>
              <w:t>2150,0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-</w:t>
            </w:r>
          </w:p>
        </w:tc>
      </w:tr>
      <w:tr>
        <w:trPr/>
        <w:tc>
          <w:tcPr>
            <w:tcW w:w="16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b/>
                <w:b/>
                <w:sz w:val="20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</w:r>
          </w:p>
        </w:tc>
        <w:tc>
          <w:tcPr>
            <w:tcW w:w="28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2017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20"/>
              </w:rPr>
              <w:t>853,0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20"/>
              </w:rPr>
              <w:t>853,0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-</w:t>
            </w:r>
          </w:p>
        </w:tc>
      </w:tr>
      <w:tr>
        <w:trPr/>
        <w:tc>
          <w:tcPr>
            <w:tcW w:w="16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b/>
                <w:b/>
                <w:sz w:val="20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</w:r>
          </w:p>
        </w:tc>
        <w:tc>
          <w:tcPr>
            <w:tcW w:w="28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2018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20"/>
              </w:rPr>
              <w:t>607,6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20"/>
              </w:rPr>
              <w:t>607,6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-</w:t>
            </w:r>
          </w:p>
        </w:tc>
      </w:tr>
      <w:tr>
        <w:trPr/>
        <w:tc>
          <w:tcPr>
            <w:tcW w:w="16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b/>
                <w:b/>
                <w:sz w:val="20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</w:r>
          </w:p>
        </w:tc>
        <w:tc>
          <w:tcPr>
            <w:tcW w:w="28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2019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20"/>
              </w:rPr>
              <w:t>1024,3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20"/>
              </w:rPr>
              <w:t>1024,3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-</w:t>
            </w:r>
          </w:p>
        </w:tc>
      </w:tr>
      <w:tr>
        <w:trPr/>
        <w:tc>
          <w:tcPr>
            <w:tcW w:w="16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b/>
                <w:b/>
                <w:sz w:val="20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</w:r>
          </w:p>
        </w:tc>
        <w:tc>
          <w:tcPr>
            <w:tcW w:w="28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2020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534,2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534,2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-</w:t>
            </w:r>
          </w:p>
        </w:tc>
      </w:tr>
      <w:tr>
        <w:trPr/>
        <w:tc>
          <w:tcPr>
            <w:tcW w:w="16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b/>
                <w:b/>
                <w:sz w:val="20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</w:r>
          </w:p>
        </w:tc>
        <w:tc>
          <w:tcPr>
            <w:tcW w:w="28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2021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728,4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728,4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-</w:t>
            </w:r>
          </w:p>
        </w:tc>
      </w:tr>
      <w:tr>
        <w:trPr/>
        <w:tc>
          <w:tcPr>
            <w:tcW w:w="16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b/>
                <w:b/>
                <w:sz w:val="20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</w:r>
          </w:p>
        </w:tc>
        <w:tc>
          <w:tcPr>
            <w:tcW w:w="28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2022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20"/>
              </w:rPr>
              <w:t>1131,0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20"/>
              </w:rPr>
              <w:t>1131,0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-</w:t>
            </w:r>
          </w:p>
        </w:tc>
      </w:tr>
      <w:tr>
        <w:trPr/>
        <w:tc>
          <w:tcPr>
            <w:tcW w:w="16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b/>
                <w:b/>
                <w:sz w:val="20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</w:r>
          </w:p>
        </w:tc>
        <w:tc>
          <w:tcPr>
            <w:tcW w:w="28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7889,5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7889,5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-</w:t>
            </w:r>
          </w:p>
        </w:tc>
      </w:tr>
      <w:tr>
        <w:trPr/>
        <w:tc>
          <w:tcPr>
            <w:tcW w:w="16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b/>
                <w:b/>
                <w:sz w:val="20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</w:r>
          </w:p>
        </w:tc>
        <w:tc>
          <w:tcPr>
            <w:tcW w:w="28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соисполнитель – отдел образования администрации города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2015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20,0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20,0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-</w:t>
            </w:r>
          </w:p>
        </w:tc>
      </w:tr>
      <w:tr>
        <w:trPr/>
        <w:tc>
          <w:tcPr>
            <w:tcW w:w="16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b/>
                <w:b/>
                <w:sz w:val="20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</w:r>
          </w:p>
        </w:tc>
        <w:tc>
          <w:tcPr>
            <w:tcW w:w="28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2016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20,0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20,0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-</w:t>
            </w:r>
          </w:p>
        </w:tc>
      </w:tr>
      <w:tr>
        <w:trPr/>
        <w:tc>
          <w:tcPr>
            <w:tcW w:w="16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b/>
                <w:b/>
                <w:sz w:val="20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</w:r>
          </w:p>
        </w:tc>
        <w:tc>
          <w:tcPr>
            <w:tcW w:w="28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2017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28,0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28,0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-</w:t>
            </w:r>
          </w:p>
        </w:tc>
      </w:tr>
      <w:tr>
        <w:trPr/>
        <w:tc>
          <w:tcPr>
            <w:tcW w:w="16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b/>
                <w:b/>
                <w:sz w:val="20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</w:r>
          </w:p>
        </w:tc>
        <w:tc>
          <w:tcPr>
            <w:tcW w:w="28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2018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30,0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30,0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-</w:t>
            </w:r>
          </w:p>
        </w:tc>
      </w:tr>
      <w:tr>
        <w:trPr/>
        <w:tc>
          <w:tcPr>
            <w:tcW w:w="16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b/>
                <w:b/>
                <w:sz w:val="20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</w:r>
          </w:p>
        </w:tc>
        <w:tc>
          <w:tcPr>
            <w:tcW w:w="28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2019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15,0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15,0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-</w:t>
            </w:r>
          </w:p>
        </w:tc>
      </w:tr>
      <w:tr>
        <w:trPr/>
        <w:tc>
          <w:tcPr>
            <w:tcW w:w="16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b/>
                <w:b/>
                <w:sz w:val="20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</w:r>
          </w:p>
        </w:tc>
        <w:tc>
          <w:tcPr>
            <w:tcW w:w="28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2020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-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-</w:t>
            </w:r>
          </w:p>
        </w:tc>
      </w:tr>
      <w:tr>
        <w:trPr/>
        <w:tc>
          <w:tcPr>
            <w:tcW w:w="16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b/>
                <w:b/>
                <w:sz w:val="20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</w:r>
          </w:p>
        </w:tc>
        <w:tc>
          <w:tcPr>
            <w:tcW w:w="28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2021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-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-</w:t>
            </w:r>
          </w:p>
        </w:tc>
      </w:tr>
      <w:tr>
        <w:trPr/>
        <w:tc>
          <w:tcPr>
            <w:tcW w:w="16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b/>
                <w:b/>
                <w:sz w:val="20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</w:r>
          </w:p>
        </w:tc>
        <w:tc>
          <w:tcPr>
            <w:tcW w:w="28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2022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-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-</w:t>
            </w:r>
          </w:p>
        </w:tc>
      </w:tr>
      <w:tr>
        <w:trPr/>
        <w:tc>
          <w:tcPr>
            <w:tcW w:w="16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b/>
                <w:b/>
                <w:sz w:val="20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</w:r>
          </w:p>
        </w:tc>
        <w:tc>
          <w:tcPr>
            <w:tcW w:w="28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113,0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113,0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-</w:t>
            </w:r>
          </w:p>
        </w:tc>
      </w:tr>
      <w:tr>
        <w:trPr/>
        <w:tc>
          <w:tcPr>
            <w:tcW w:w="16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Подпрограмма муниципальной программы</w:t>
            </w:r>
          </w:p>
        </w:tc>
        <w:tc>
          <w:tcPr>
            <w:tcW w:w="28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«</w:t>
            </w:r>
            <w:r>
              <w:rPr>
                <w:rFonts w:cs="Times New Roman" w:ascii="Times New Roman" w:hAnsi="Times New Roman"/>
                <w:b/>
                <w:sz w:val="20"/>
              </w:rPr>
              <w:t>Подготовка граждан к военной службе в городе Кирсанове на 2015 – 2030 годы»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2015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</w:tr>
      <w:tr>
        <w:trPr/>
        <w:tc>
          <w:tcPr>
            <w:tcW w:w="16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b/>
                <w:b/>
                <w:sz w:val="20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</w:r>
          </w:p>
        </w:tc>
        <w:tc>
          <w:tcPr>
            <w:tcW w:w="28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2016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</w:tr>
      <w:tr>
        <w:trPr/>
        <w:tc>
          <w:tcPr>
            <w:tcW w:w="16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b/>
                <w:b/>
                <w:sz w:val="20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</w:r>
          </w:p>
        </w:tc>
        <w:tc>
          <w:tcPr>
            <w:tcW w:w="28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2017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12,0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12,0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</w:tr>
      <w:tr>
        <w:trPr/>
        <w:tc>
          <w:tcPr>
            <w:tcW w:w="16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b/>
                <w:b/>
                <w:sz w:val="20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</w:r>
          </w:p>
        </w:tc>
        <w:tc>
          <w:tcPr>
            <w:tcW w:w="28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2018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12,0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12,0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</w:tr>
      <w:tr>
        <w:trPr/>
        <w:tc>
          <w:tcPr>
            <w:tcW w:w="16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b/>
                <w:b/>
                <w:sz w:val="20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</w:r>
          </w:p>
        </w:tc>
        <w:tc>
          <w:tcPr>
            <w:tcW w:w="28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2019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10,0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</w:tr>
      <w:tr>
        <w:trPr/>
        <w:tc>
          <w:tcPr>
            <w:tcW w:w="16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b/>
                <w:b/>
                <w:sz w:val="20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</w:r>
          </w:p>
        </w:tc>
        <w:tc>
          <w:tcPr>
            <w:tcW w:w="28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2020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10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</w:tr>
      <w:tr>
        <w:trPr/>
        <w:tc>
          <w:tcPr>
            <w:tcW w:w="16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b/>
                <w:b/>
                <w:sz w:val="20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</w:r>
          </w:p>
        </w:tc>
        <w:tc>
          <w:tcPr>
            <w:tcW w:w="28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2021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</w:tr>
      <w:tr>
        <w:trPr/>
        <w:tc>
          <w:tcPr>
            <w:tcW w:w="16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b/>
                <w:b/>
                <w:sz w:val="20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</w:r>
          </w:p>
        </w:tc>
        <w:tc>
          <w:tcPr>
            <w:tcW w:w="28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2022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</w:tr>
      <w:tr>
        <w:trPr/>
        <w:tc>
          <w:tcPr>
            <w:tcW w:w="16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b/>
                <w:b/>
                <w:sz w:val="20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</w:r>
          </w:p>
        </w:tc>
        <w:tc>
          <w:tcPr>
            <w:tcW w:w="28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44,0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44,0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-</w:t>
            </w:r>
          </w:p>
        </w:tc>
      </w:tr>
      <w:tr>
        <w:trPr/>
        <w:tc>
          <w:tcPr>
            <w:tcW w:w="16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b/>
                <w:b/>
                <w:sz w:val="20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</w:r>
          </w:p>
        </w:tc>
        <w:tc>
          <w:tcPr>
            <w:tcW w:w="28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ответственный исполнитель – отдел образования администрации города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2015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0,0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</w:tr>
      <w:tr>
        <w:trPr/>
        <w:tc>
          <w:tcPr>
            <w:tcW w:w="16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b/>
                <w:b/>
                <w:sz w:val="20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</w:r>
          </w:p>
        </w:tc>
        <w:tc>
          <w:tcPr>
            <w:tcW w:w="28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2016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0,0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</w:tr>
      <w:tr>
        <w:trPr/>
        <w:tc>
          <w:tcPr>
            <w:tcW w:w="16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b/>
                <w:b/>
                <w:sz w:val="20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</w:r>
          </w:p>
        </w:tc>
        <w:tc>
          <w:tcPr>
            <w:tcW w:w="28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2017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12,0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12,0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</w:tr>
      <w:tr>
        <w:trPr/>
        <w:tc>
          <w:tcPr>
            <w:tcW w:w="16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b/>
                <w:b/>
                <w:sz w:val="20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</w:r>
          </w:p>
        </w:tc>
        <w:tc>
          <w:tcPr>
            <w:tcW w:w="28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2018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12,0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12,0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</w:tr>
      <w:tr>
        <w:trPr/>
        <w:tc>
          <w:tcPr>
            <w:tcW w:w="16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b/>
                <w:b/>
                <w:sz w:val="20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</w:r>
          </w:p>
        </w:tc>
        <w:tc>
          <w:tcPr>
            <w:tcW w:w="28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2019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10,0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</w:tr>
      <w:tr>
        <w:trPr/>
        <w:tc>
          <w:tcPr>
            <w:tcW w:w="16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b/>
                <w:b/>
                <w:sz w:val="20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</w:r>
          </w:p>
        </w:tc>
        <w:tc>
          <w:tcPr>
            <w:tcW w:w="28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2020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</w:tr>
      <w:tr>
        <w:trPr/>
        <w:tc>
          <w:tcPr>
            <w:tcW w:w="16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b/>
                <w:b/>
                <w:sz w:val="20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</w:r>
          </w:p>
        </w:tc>
        <w:tc>
          <w:tcPr>
            <w:tcW w:w="28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2021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</w:tr>
      <w:tr>
        <w:trPr/>
        <w:tc>
          <w:tcPr>
            <w:tcW w:w="16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b/>
                <w:b/>
                <w:sz w:val="20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</w:r>
          </w:p>
        </w:tc>
        <w:tc>
          <w:tcPr>
            <w:tcW w:w="28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2022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-</w:t>
            </w:r>
          </w:p>
        </w:tc>
      </w:tr>
      <w:tr>
        <w:trPr/>
        <w:tc>
          <w:tcPr>
            <w:tcW w:w="16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b/>
                <w:b/>
                <w:sz w:val="20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</w:r>
          </w:p>
        </w:tc>
        <w:tc>
          <w:tcPr>
            <w:tcW w:w="28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34,0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34,0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0"/>
              </w:rPr>
              <w:t>-</w:t>
            </w:r>
          </w:p>
        </w:tc>
      </w:tr>
    </w:tbl>
    <w:p>
      <w:pPr>
        <w:pStyle w:val="Normal"/>
        <w:spacing w:before="100" w:after="20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Spacing"/>
        <w:rPr>
          <w:szCs w:val="28"/>
        </w:rPr>
      </w:pPr>
      <w:r>
        <w:rPr>
          <w:szCs w:val="28"/>
        </w:rPr>
      </w:r>
    </w:p>
    <w:p>
      <w:pPr>
        <w:pStyle w:val="NoSpacing"/>
        <w:rPr>
          <w:szCs w:val="28"/>
        </w:rPr>
      </w:pPr>
      <w:r>
        <w:rPr>
          <w:szCs w:val="28"/>
        </w:rPr>
      </w:r>
    </w:p>
    <w:p>
      <w:pPr>
        <w:pStyle w:val="Normal"/>
        <w:spacing w:lineRule="atLeast" w:line="20" w:before="0" w:after="0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tLeast" w:line="20" w:before="0" w:after="0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tLeast" w:line="20" w:before="0" w:after="0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tLeast" w:line="20" w:before="0" w:after="0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tLeast" w:line="20" w:before="0" w:after="0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tLeast" w:line="20" w:before="0" w:after="0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tLeast" w:line="20" w:before="0" w:after="0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tLeast" w:line="20" w:before="0" w:after="0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tLeast" w:line="20" w:before="0" w:after="0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tLeast" w:line="20" w:before="0" w:after="0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tLeast" w:line="20" w:before="0" w:after="0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tLeast" w:line="20" w:before="0" w:after="0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tLeast" w:line="20" w:before="0" w:after="0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РЕСУРСНОЕ ОБЕСПЕЧЕНИЕ 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 </w:t>
      </w:r>
      <w:r>
        <w:rPr>
          <w:rFonts w:cs="Times New Roman" w:ascii="Times New Roman" w:hAnsi="Times New Roman"/>
          <w:b/>
          <w:sz w:val="28"/>
          <w:szCs w:val="28"/>
        </w:rPr>
        <w:t>реализации муниципальной программы «Обеспечение безопасности населения города Кирсанова Тамбовской области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и противодействие преступности на 2015-2030 годы» 2 этап реализации (2023-2030)</w:t>
      </w:r>
    </w:p>
    <w:tbl>
      <w:tblPr>
        <w:tblW w:w="14804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1813"/>
        <w:gridCol w:w="2690"/>
        <w:gridCol w:w="2126"/>
        <w:gridCol w:w="1559"/>
        <w:gridCol w:w="1418"/>
        <w:gridCol w:w="1417"/>
        <w:gridCol w:w="1418"/>
        <w:gridCol w:w="1134"/>
        <w:gridCol w:w="1227"/>
      </w:tblGrid>
      <w:tr>
        <w:trPr/>
        <w:tc>
          <w:tcPr>
            <w:tcW w:w="18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Статус</w:t>
            </w:r>
          </w:p>
        </w:tc>
        <w:tc>
          <w:tcPr>
            <w:tcW w:w="26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Наименование программы, подпрограммы муниципальной программы, основного мероприятия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Ответственный исполнитель, соисполнители</w:t>
            </w:r>
          </w:p>
        </w:tc>
        <w:tc>
          <w:tcPr>
            <w:tcW w:w="817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Объемы финансирования, тыс. рублей, в т.ч.</w:t>
            </w:r>
          </w:p>
        </w:tc>
      </w:tr>
      <w:tr>
        <w:trPr/>
        <w:tc>
          <w:tcPr>
            <w:tcW w:w="18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cs="Times New Roman" w:ascii="Times New Roman" w:hAnsi="Times New Roman"/>
                <w:sz w:val="20"/>
                <w:szCs w:val="24"/>
              </w:rPr>
            </w:r>
          </w:p>
        </w:tc>
        <w:tc>
          <w:tcPr>
            <w:tcW w:w="26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</w:rPr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по годам, всего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Бюджет Тамбовской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Бюджет города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внебюджетные средства</w:t>
            </w:r>
          </w:p>
        </w:tc>
      </w:tr>
      <w:tr>
        <w:trPr/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1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8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0"/>
              </w:rPr>
              <w:t>9</w:t>
            </w:r>
          </w:p>
        </w:tc>
      </w:tr>
      <w:tr>
        <w:trPr/>
        <w:tc>
          <w:tcPr>
            <w:tcW w:w="18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Муниципальная программа</w:t>
            </w:r>
          </w:p>
        </w:tc>
        <w:tc>
          <w:tcPr>
            <w:tcW w:w="26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bCs/>
                <w:spacing w:val="-1"/>
              </w:rPr>
              <w:t>«Обеспечение безопасности населения города Кирсанова Тамбовской области и противодействие преступности на 2015 – 2030 годы»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2023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b/>
                <w:color w:val="000000"/>
              </w:rPr>
              <w:t>1823,4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b/>
                <w:color w:val="000000"/>
              </w:rPr>
              <w:t>0,4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b/>
                <w:color w:val="000000"/>
              </w:rPr>
              <w:t>273,0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b/>
                <w:color w:val="000000"/>
              </w:rPr>
              <w:t>1550,0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/>
        <w:tc>
          <w:tcPr>
            <w:tcW w:w="18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6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b/>
                <w:color w:val="000000"/>
              </w:rPr>
              <w:t>1825,4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b/>
                <w:color w:val="000000"/>
              </w:rPr>
              <w:t>0,4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b/>
                <w:color w:val="000000"/>
              </w:rPr>
              <w:t>275,0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b/>
                <w:color w:val="000000"/>
              </w:rPr>
              <w:t>1550,0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/>
        <w:tc>
          <w:tcPr>
            <w:tcW w:w="18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6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2025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b/>
                <w:color w:val="000000"/>
              </w:rPr>
              <w:t>1825,4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b/>
                <w:color w:val="000000"/>
              </w:rPr>
              <w:t>0,4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b/>
                <w:color w:val="000000"/>
              </w:rPr>
              <w:t>275,0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b/>
                <w:color w:val="000000"/>
              </w:rPr>
              <w:t>1550,0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/>
        <w:tc>
          <w:tcPr>
            <w:tcW w:w="18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6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2026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b/>
                <w:color w:val="000000"/>
              </w:rPr>
              <w:t>1825,0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b/>
                <w:color w:val="00000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b/>
                <w:color w:val="000000"/>
              </w:rPr>
              <w:t>275,0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b/>
                <w:color w:val="000000"/>
              </w:rPr>
              <w:t>1550,0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/>
        <w:tc>
          <w:tcPr>
            <w:tcW w:w="18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6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2027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b/>
                <w:color w:val="000000"/>
              </w:rPr>
              <w:t>1825,0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b/>
                <w:color w:val="00000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b/>
                <w:color w:val="000000"/>
              </w:rPr>
              <w:t>275,0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b/>
                <w:color w:val="000000"/>
              </w:rPr>
              <w:t>1550,0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/>
        <w:tc>
          <w:tcPr>
            <w:tcW w:w="18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6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2028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b/>
                <w:color w:val="000000"/>
              </w:rPr>
              <w:t>1825,0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b/>
                <w:color w:val="00000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b/>
                <w:color w:val="000000"/>
              </w:rPr>
              <w:t>275,0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b/>
                <w:color w:val="000000"/>
              </w:rPr>
              <w:t>1550,0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/>
        <w:tc>
          <w:tcPr>
            <w:tcW w:w="18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6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2029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b/>
                <w:color w:val="000000"/>
              </w:rPr>
              <w:t>1825,0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b/>
                <w:color w:val="00000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b/>
                <w:color w:val="000000"/>
              </w:rPr>
              <w:t>275,0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b/>
                <w:color w:val="000000"/>
              </w:rPr>
              <w:t>1550,0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/>
        <w:tc>
          <w:tcPr>
            <w:tcW w:w="18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6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2030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b/>
                <w:color w:val="000000"/>
              </w:rPr>
              <w:t>1825,0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b/>
                <w:color w:val="00000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b/>
                <w:color w:val="000000"/>
              </w:rPr>
              <w:t>275,0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b/>
                <w:color w:val="000000"/>
              </w:rPr>
              <w:t>1550,0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/>
        <w:tc>
          <w:tcPr>
            <w:tcW w:w="18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6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b/>
                <w:color w:val="000000"/>
              </w:rPr>
              <w:t>14599,2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b/>
                <w:b/>
                <w:color w:val="000000"/>
              </w:rPr>
            </w:pPr>
            <w:r>
              <w:rPr>
                <w:rFonts w:cs="Times New Roman" w:ascii="Times New Roman" w:hAnsi="Times New Roman"/>
                <w:b/>
                <w:color w:val="000000"/>
              </w:rPr>
              <w:t>1,2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b/>
                <w:color w:val="000000"/>
              </w:rPr>
              <w:t>2198,0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b/>
                <w:color w:val="000000"/>
              </w:rPr>
              <w:t>12400,0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/>
        <w:tc>
          <w:tcPr>
            <w:tcW w:w="18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6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ответственный исполнитель – отдел ГО, ЧС и ОБ  администрации города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2023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1524,54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1524,54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/>
        <w:tc>
          <w:tcPr>
            <w:tcW w:w="18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cs="Times New Roman" w:ascii="Times New Roman" w:hAnsi="Times New Roman"/>
                <w:color w:val="FF0000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1515,36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1515,36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/>
        <w:tc>
          <w:tcPr>
            <w:tcW w:w="18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cs="Times New Roman" w:ascii="Times New Roman" w:hAnsi="Times New Roman"/>
                <w:color w:val="FF0000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2025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1515,36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1515,36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/>
        <w:tc>
          <w:tcPr>
            <w:tcW w:w="18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cs="Times New Roman" w:ascii="Times New Roman" w:hAnsi="Times New Roman"/>
                <w:color w:val="FF0000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2026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1515,0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1515,0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/>
        <w:tc>
          <w:tcPr>
            <w:tcW w:w="18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cs="Times New Roman" w:ascii="Times New Roman" w:hAnsi="Times New Roman"/>
                <w:color w:val="FF0000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2027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1515,0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1515,0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/>
        <w:tc>
          <w:tcPr>
            <w:tcW w:w="18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cs="Times New Roman" w:ascii="Times New Roman" w:hAnsi="Times New Roman"/>
                <w:color w:val="FF0000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2028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1515,0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1515,0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/>
        <w:tc>
          <w:tcPr>
            <w:tcW w:w="18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cs="Times New Roman" w:ascii="Times New Roman" w:hAnsi="Times New Roman"/>
                <w:color w:val="FF0000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2029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1515,0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1515,0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/>
        <w:tc>
          <w:tcPr>
            <w:tcW w:w="18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cs="Times New Roman" w:ascii="Times New Roman" w:hAnsi="Times New Roman"/>
                <w:color w:val="FF0000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2030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1515,0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1515,0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/>
        <w:tc>
          <w:tcPr>
            <w:tcW w:w="18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cs="Times New Roman" w:ascii="Times New Roman" w:hAnsi="Times New Roman"/>
                <w:color w:val="FF0000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12130,26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b/>
                <w:color w:val="00000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b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12130,26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/>
        <w:tc>
          <w:tcPr>
            <w:tcW w:w="18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6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соисполнитель – отдел образования администрации города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2023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25,46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25,46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/>
        <w:tc>
          <w:tcPr>
            <w:tcW w:w="18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cs="Times New Roman" w:ascii="Times New Roman" w:hAnsi="Times New Roman"/>
                <w:color w:val="FF0000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35,0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35,0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/>
        <w:tc>
          <w:tcPr>
            <w:tcW w:w="18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cs="Times New Roman" w:ascii="Times New Roman" w:hAnsi="Times New Roman"/>
                <w:color w:val="FF0000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2025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35,0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35,0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/>
        <w:tc>
          <w:tcPr>
            <w:tcW w:w="18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cs="Times New Roman" w:ascii="Times New Roman" w:hAnsi="Times New Roman"/>
                <w:color w:val="FF0000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2026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35,0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35,0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/>
        <w:tc>
          <w:tcPr>
            <w:tcW w:w="18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cs="Times New Roman" w:ascii="Times New Roman" w:hAnsi="Times New Roman"/>
                <w:color w:val="FF0000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2027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35,0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35,0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/>
        <w:tc>
          <w:tcPr>
            <w:tcW w:w="18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cs="Times New Roman" w:ascii="Times New Roman" w:hAnsi="Times New Roman"/>
                <w:color w:val="FF0000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2028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35,0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35,0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/>
        <w:tc>
          <w:tcPr>
            <w:tcW w:w="18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cs="Times New Roman" w:ascii="Times New Roman" w:hAnsi="Times New Roman"/>
                <w:color w:val="FF0000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2029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35,0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35,0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/>
        <w:tc>
          <w:tcPr>
            <w:tcW w:w="18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cs="Times New Roman" w:ascii="Times New Roman" w:hAnsi="Times New Roman"/>
                <w:color w:val="FF0000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2030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35,0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35,0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/>
        <w:tc>
          <w:tcPr>
            <w:tcW w:w="18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cs="Times New Roman" w:ascii="Times New Roman" w:hAnsi="Times New Roman"/>
                <w:color w:val="FF0000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b/>
                <w:color w:val="000000"/>
              </w:rPr>
              <w:t>270,46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b/>
                <w:color w:val="00000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b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b/>
                <w:color w:val="000000"/>
              </w:rPr>
              <w:t>270,46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/>
        <w:tc>
          <w:tcPr>
            <w:tcW w:w="18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6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соисполнитель – административная комиссия администрации города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2023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273,0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273,0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/>
        <w:tc>
          <w:tcPr>
            <w:tcW w:w="18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275,0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275,0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/>
        <w:tc>
          <w:tcPr>
            <w:tcW w:w="18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2025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275,0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275,0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/>
        <w:tc>
          <w:tcPr>
            <w:tcW w:w="18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2026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275,0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275,0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/>
        <w:tc>
          <w:tcPr>
            <w:tcW w:w="18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2027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275,0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275,0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/>
        <w:tc>
          <w:tcPr>
            <w:tcW w:w="18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2028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275,0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275,0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/>
        <w:tc>
          <w:tcPr>
            <w:tcW w:w="18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2029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275,0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275,0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/>
        <w:tc>
          <w:tcPr>
            <w:tcW w:w="18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2030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275,0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275,0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/>
        <w:tc>
          <w:tcPr>
            <w:tcW w:w="18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2198,0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2198,0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/>
        <w:tc>
          <w:tcPr>
            <w:tcW w:w="18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color w:val="000000"/>
              </w:rPr>
              <w:t>соисполнитель – юридический отдел администрации города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2023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0,4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0,4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/>
        <w:tc>
          <w:tcPr>
            <w:tcW w:w="1813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0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26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2024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0,4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0,4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/>
        <w:tc>
          <w:tcPr>
            <w:tcW w:w="1813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0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26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2025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0,4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0,4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/>
        <w:tc>
          <w:tcPr>
            <w:tcW w:w="1813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0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26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2026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/>
        <w:tc>
          <w:tcPr>
            <w:tcW w:w="1813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0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26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2027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/>
        <w:tc>
          <w:tcPr>
            <w:tcW w:w="1813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0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26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2028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/>
        <w:tc>
          <w:tcPr>
            <w:tcW w:w="1813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0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26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2029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/>
        <w:tc>
          <w:tcPr>
            <w:tcW w:w="1813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0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26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2030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/>
        <w:tc>
          <w:tcPr>
            <w:tcW w:w="1813" w:type="dxa"/>
            <w:vMerge w:val="continue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0" w:type="dxa"/>
            <w:vMerge w:val="continue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26" w:type="dxa"/>
            <w:vMerge w:val="continue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1,2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1,2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/>
        <w:tc>
          <w:tcPr>
            <w:tcW w:w="18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Подпрограмма муниципальной программы</w:t>
            </w:r>
          </w:p>
        </w:tc>
        <w:tc>
          <w:tcPr>
            <w:tcW w:w="26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«Обеспечение общественного порядка и противодействие преступности в городе Кирсанове на 2015 – 2030 годы»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2023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50,0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50,0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/>
        <w:tc>
          <w:tcPr>
            <w:tcW w:w="18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50,0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50,0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/>
        <w:tc>
          <w:tcPr>
            <w:tcW w:w="18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2025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50,0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50,0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/>
        <w:tc>
          <w:tcPr>
            <w:tcW w:w="18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2026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50,0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50,0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/>
        <w:tc>
          <w:tcPr>
            <w:tcW w:w="18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2027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50,0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50,0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/>
        <w:tc>
          <w:tcPr>
            <w:tcW w:w="18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2028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50,0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50,0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/>
        <w:tc>
          <w:tcPr>
            <w:tcW w:w="18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2029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50,0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50,0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/>
        <w:tc>
          <w:tcPr>
            <w:tcW w:w="18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2030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50,0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50,0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/>
        <w:tc>
          <w:tcPr>
            <w:tcW w:w="18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400,0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400,0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/>
        <w:tc>
          <w:tcPr>
            <w:tcW w:w="18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6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ответственный исполнитель –отдел ГО, ЧС и ОБ администрации города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2023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50,0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/>
        <w:tc>
          <w:tcPr>
            <w:tcW w:w="18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50,0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/>
        <w:tc>
          <w:tcPr>
            <w:tcW w:w="18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2025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50,0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/>
        <w:tc>
          <w:tcPr>
            <w:tcW w:w="18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2026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50,0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/>
        <w:tc>
          <w:tcPr>
            <w:tcW w:w="18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2027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50,0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/>
        <w:tc>
          <w:tcPr>
            <w:tcW w:w="18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2028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50,0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/>
        <w:tc>
          <w:tcPr>
            <w:tcW w:w="18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2029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50,0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/>
        <w:tc>
          <w:tcPr>
            <w:tcW w:w="18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2030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50,0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/>
        <w:tc>
          <w:tcPr>
            <w:tcW w:w="18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400,0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400,0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/>
        <w:tc>
          <w:tcPr>
            <w:tcW w:w="18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Подпрограмма муниципальной программы</w:t>
            </w:r>
          </w:p>
        </w:tc>
        <w:tc>
          <w:tcPr>
            <w:tcW w:w="26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«Противодействие терроризму и экстремизму в городе Кирсанове на 2015 – 2030 годы»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2023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273,0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273,0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/>
        <w:tc>
          <w:tcPr>
            <w:tcW w:w="18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6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275,0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275,0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/>
        <w:tc>
          <w:tcPr>
            <w:tcW w:w="18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6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2025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275,0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275,0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/>
        <w:tc>
          <w:tcPr>
            <w:tcW w:w="18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6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2026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275,0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275,0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/>
        <w:tc>
          <w:tcPr>
            <w:tcW w:w="18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6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2027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275,0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275,0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/>
        <w:tc>
          <w:tcPr>
            <w:tcW w:w="18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6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2028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275,0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275,0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/>
        <w:tc>
          <w:tcPr>
            <w:tcW w:w="18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6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2029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275,0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275,0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/>
        <w:tc>
          <w:tcPr>
            <w:tcW w:w="18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6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2030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275,0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275,0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/>
        <w:tc>
          <w:tcPr>
            <w:tcW w:w="18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6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2198,0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2198,0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/>
        <w:tc>
          <w:tcPr>
            <w:tcW w:w="18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6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ответственный исполнитель – отдел ГО, ЧС и ОБ администрации города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2023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/>
        <w:tc>
          <w:tcPr>
            <w:tcW w:w="18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/>
        <w:tc>
          <w:tcPr>
            <w:tcW w:w="18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2025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/>
        <w:tc>
          <w:tcPr>
            <w:tcW w:w="18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2026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/>
        <w:tc>
          <w:tcPr>
            <w:tcW w:w="18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2027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/>
        <w:tc>
          <w:tcPr>
            <w:tcW w:w="18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2028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/>
        <w:tc>
          <w:tcPr>
            <w:tcW w:w="18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2029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/>
        <w:tc>
          <w:tcPr>
            <w:tcW w:w="18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2030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/>
        <w:tc>
          <w:tcPr>
            <w:tcW w:w="18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/>
        <w:tc>
          <w:tcPr>
            <w:tcW w:w="18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6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соисполнитель – административная комиссия администрации города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2023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273,0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273,0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/>
        <w:tc>
          <w:tcPr>
            <w:tcW w:w="18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6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275,0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275,0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/>
        <w:tc>
          <w:tcPr>
            <w:tcW w:w="18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6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2025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275,0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275,0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/>
        <w:tc>
          <w:tcPr>
            <w:tcW w:w="18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6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2026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275,0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275,0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/>
        <w:tc>
          <w:tcPr>
            <w:tcW w:w="18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6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2027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275,0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275,0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/>
        <w:tc>
          <w:tcPr>
            <w:tcW w:w="18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6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2028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275,0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275,0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/>
        <w:tc>
          <w:tcPr>
            <w:tcW w:w="18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6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2029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275,0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275,0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/>
        <w:tc>
          <w:tcPr>
            <w:tcW w:w="18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6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2030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275,0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275,0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/>
        <w:tc>
          <w:tcPr>
            <w:tcW w:w="18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6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2198,0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2198,0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/>
        <w:tc>
          <w:tcPr>
            <w:tcW w:w="18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Подпрограмма муниципальной программы</w:t>
            </w:r>
          </w:p>
        </w:tc>
        <w:tc>
          <w:tcPr>
            <w:tcW w:w="26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«Повышение безопасности дорожного движения в городе Кирсанове на 2015 – 2030 годы»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2023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1500,0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1500,0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/>
        <w:tc>
          <w:tcPr>
            <w:tcW w:w="18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6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1500,0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1500,0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/>
        <w:tc>
          <w:tcPr>
            <w:tcW w:w="18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6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2025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1500,0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1500,0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/>
        <w:tc>
          <w:tcPr>
            <w:tcW w:w="18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6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2026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1500,0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1500,0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/>
        <w:tc>
          <w:tcPr>
            <w:tcW w:w="18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6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2027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1500,0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1500,0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/>
        <w:tc>
          <w:tcPr>
            <w:tcW w:w="18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6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2028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1500,0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1500,0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/>
        <w:tc>
          <w:tcPr>
            <w:tcW w:w="18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6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2029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1500,0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1500,0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/>
        <w:tc>
          <w:tcPr>
            <w:tcW w:w="18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6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2030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1500,0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1500,0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/>
        <w:tc>
          <w:tcPr>
            <w:tcW w:w="18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6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12000,0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12000,0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/>
        <w:tc>
          <w:tcPr>
            <w:tcW w:w="18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6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ответственный исполнитель – отдел ГО, ЧС и ОБ администрации города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2023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b/>
                <w:color w:val="000000"/>
              </w:rPr>
              <w:t>1474,54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b/>
                <w:color w:val="00000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b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b/>
                <w:color w:val="000000"/>
              </w:rPr>
              <w:t>1474,54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/>
        <w:tc>
          <w:tcPr>
            <w:tcW w:w="18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6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b/>
                <w:color w:val="000000"/>
              </w:rPr>
              <w:t>1465,0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b/>
                <w:color w:val="00000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b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b/>
                <w:color w:val="000000"/>
              </w:rPr>
              <w:t>1465,0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/>
        <w:tc>
          <w:tcPr>
            <w:tcW w:w="18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6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2025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b/>
                <w:color w:val="000000"/>
              </w:rPr>
              <w:t>1465,0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b/>
                <w:color w:val="00000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b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b/>
                <w:color w:val="000000"/>
              </w:rPr>
              <w:t>1465,0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/>
        <w:tc>
          <w:tcPr>
            <w:tcW w:w="18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6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2026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b/>
                <w:color w:val="000000"/>
              </w:rPr>
              <w:t>1465,0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b/>
                <w:color w:val="00000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b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b/>
                <w:color w:val="000000"/>
              </w:rPr>
              <w:t>1465,0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/>
        <w:tc>
          <w:tcPr>
            <w:tcW w:w="18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6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2027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b/>
                <w:color w:val="000000"/>
              </w:rPr>
              <w:t>1465,0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b/>
                <w:color w:val="00000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b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b/>
                <w:color w:val="000000"/>
              </w:rPr>
              <w:t>1465,0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/>
        <w:tc>
          <w:tcPr>
            <w:tcW w:w="18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6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2028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b/>
                <w:color w:val="000000"/>
              </w:rPr>
              <w:t>1465,0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b/>
                <w:color w:val="00000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b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b/>
                <w:color w:val="000000"/>
              </w:rPr>
              <w:t>1465,0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/>
        <w:tc>
          <w:tcPr>
            <w:tcW w:w="18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6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2029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b/>
                <w:color w:val="000000"/>
              </w:rPr>
              <w:t>1465,0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b/>
                <w:color w:val="00000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b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b/>
                <w:color w:val="000000"/>
              </w:rPr>
              <w:t>1465,0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/>
        <w:tc>
          <w:tcPr>
            <w:tcW w:w="18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6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2030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b/>
                <w:color w:val="000000"/>
              </w:rPr>
              <w:t>1465,0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b/>
                <w:color w:val="00000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b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b/>
                <w:color w:val="000000"/>
              </w:rPr>
              <w:t>1465,0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/>
        <w:tc>
          <w:tcPr>
            <w:tcW w:w="18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6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b/>
                <w:b/>
                <w:color w:val="000000"/>
              </w:rPr>
            </w:pPr>
            <w:r>
              <w:rPr>
                <w:rFonts w:cs="Times New Roman" w:ascii="Times New Roman" w:hAnsi="Times New Roman"/>
                <w:b/>
                <w:color w:val="000000"/>
              </w:rPr>
              <w:t>11729,54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b/>
                <w:b/>
                <w:color w:val="000000"/>
              </w:rPr>
            </w:pPr>
            <w:r>
              <w:rPr>
                <w:rFonts w:cs="Times New Roman" w:ascii="Times New Roman" w:hAnsi="Times New Roman"/>
                <w:b/>
                <w:color w:val="00000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b/>
                <w:b/>
                <w:color w:val="000000"/>
              </w:rPr>
            </w:pPr>
            <w:r>
              <w:rPr>
                <w:rFonts w:cs="Times New Roman" w:ascii="Times New Roman" w:hAnsi="Times New Roman"/>
                <w:b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b/>
                <w:b/>
                <w:color w:val="000000"/>
              </w:rPr>
            </w:pPr>
            <w:r>
              <w:rPr>
                <w:rFonts w:cs="Times New Roman" w:ascii="Times New Roman" w:hAnsi="Times New Roman"/>
                <w:b/>
                <w:color w:val="000000"/>
              </w:rPr>
              <w:t>11729,54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/>
        <w:tc>
          <w:tcPr>
            <w:tcW w:w="18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6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соисполнитель – отдел образования администрации города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2023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25,46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b/>
                <w:color w:val="00000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b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25,46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/>
        <w:tc>
          <w:tcPr>
            <w:tcW w:w="18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6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35,0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b/>
                <w:color w:val="00000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b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35,0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/>
        <w:tc>
          <w:tcPr>
            <w:tcW w:w="18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6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2025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35,0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b/>
                <w:color w:val="00000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b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35,0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/>
        <w:tc>
          <w:tcPr>
            <w:tcW w:w="18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6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2026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35,0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b/>
                <w:color w:val="00000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b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35,0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/>
        <w:tc>
          <w:tcPr>
            <w:tcW w:w="18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6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2027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35,0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b/>
                <w:color w:val="00000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b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35,0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/>
        <w:tc>
          <w:tcPr>
            <w:tcW w:w="18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6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2028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35,0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b/>
                <w:color w:val="00000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b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35,0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/>
        <w:tc>
          <w:tcPr>
            <w:tcW w:w="18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6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2029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35,0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b/>
                <w:color w:val="00000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b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35,0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/>
        <w:tc>
          <w:tcPr>
            <w:tcW w:w="18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6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2030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35,0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b/>
                <w:color w:val="00000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b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35,0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/>
        <w:tc>
          <w:tcPr>
            <w:tcW w:w="18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6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b/>
                <w:b/>
                <w:color w:val="000000"/>
              </w:rPr>
            </w:pPr>
            <w:r>
              <w:rPr>
                <w:rFonts w:cs="Times New Roman" w:ascii="Times New Roman" w:hAnsi="Times New Roman"/>
                <w:b/>
                <w:color w:val="000000"/>
              </w:rPr>
              <w:t>270,46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b/>
                <w:b/>
                <w:color w:val="000000"/>
              </w:rPr>
            </w:pPr>
            <w:r>
              <w:rPr>
                <w:rFonts w:cs="Times New Roman" w:ascii="Times New Roman" w:hAnsi="Times New Roman"/>
                <w:b/>
                <w:color w:val="00000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b/>
                <w:b/>
                <w:color w:val="000000"/>
              </w:rPr>
            </w:pPr>
            <w:r>
              <w:rPr>
                <w:rFonts w:cs="Times New Roman" w:ascii="Times New Roman" w:hAnsi="Times New Roman"/>
                <w:b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b/>
                <w:b/>
                <w:color w:val="000000"/>
              </w:rPr>
            </w:pPr>
            <w:r>
              <w:rPr>
                <w:rFonts w:cs="Times New Roman" w:ascii="Times New Roman" w:hAnsi="Times New Roman"/>
                <w:b/>
                <w:color w:val="000000"/>
              </w:rPr>
              <w:t>270,46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/>
        <w:tc>
          <w:tcPr>
            <w:tcW w:w="18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Подпрограмма муниципальной программы</w:t>
            </w:r>
          </w:p>
        </w:tc>
        <w:tc>
          <w:tcPr>
            <w:tcW w:w="26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«</w:t>
            </w:r>
            <w:r>
              <w:rPr>
                <w:rFonts w:cs="Times New Roman" w:ascii="Times New Roman" w:hAnsi="Times New Roman"/>
                <w:b/>
              </w:rPr>
              <w:t>Подготовка граждан к военной службе в городе Кирсанове на 2015 – 2030 годы»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2023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/>
        <w:tc>
          <w:tcPr>
            <w:tcW w:w="18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6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/>
        <w:tc>
          <w:tcPr>
            <w:tcW w:w="18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6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2025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/>
        <w:tc>
          <w:tcPr>
            <w:tcW w:w="18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6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2026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/>
        <w:tc>
          <w:tcPr>
            <w:tcW w:w="18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6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2027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/>
        <w:tc>
          <w:tcPr>
            <w:tcW w:w="18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6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2028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/>
        <w:tc>
          <w:tcPr>
            <w:tcW w:w="18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6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2029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/>
        <w:tc>
          <w:tcPr>
            <w:tcW w:w="18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6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2030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/>
        <w:tc>
          <w:tcPr>
            <w:tcW w:w="18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6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/>
        <w:tc>
          <w:tcPr>
            <w:tcW w:w="18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6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ответственный исполнитель – отдел образования администрации города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2023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/>
        <w:tc>
          <w:tcPr>
            <w:tcW w:w="18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6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/>
        <w:tc>
          <w:tcPr>
            <w:tcW w:w="18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6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2025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/>
        <w:tc>
          <w:tcPr>
            <w:tcW w:w="18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6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2026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/>
        <w:tc>
          <w:tcPr>
            <w:tcW w:w="18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6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2027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/>
        <w:tc>
          <w:tcPr>
            <w:tcW w:w="18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6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2028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/>
        <w:tc>
          <w:tcPr>
            <w:tcW w:w="18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6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2029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/>
        <w:tc>
          <w:tcPr>
            <w:tcW w:w="18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6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2030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</w:tc>
      </w:tr>
      <w:tr>
        <w:trPr/>
        <w:tc>
          <w:tcPr>
            <w:tcW w:w="181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6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/>
        <w:tc>
          <w:tcPr>
            <w:tcW w:w="18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6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«Прочие основные мероприятия муниципальной программы, не вошедшие в подпрограммы в городе Кирсанове»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2023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0,4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0,4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/>
        <w:tc>
          <w:tcPr>
            <w:tcW w:w="1813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690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26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0,4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0,4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/>
        <w:tc>
          <w:tcPr>
            <w:tcW w:w="1813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690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26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2025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0,4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0,4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/>
        <w:tc>
          <w:tcPr>
            <w:tcW w:w="1813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690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26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2026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/>
        <w:tc>
          <w:tcPr>
            <w:tcW w:w="1813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690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26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2027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/>
        <w:tc>
          <w:tcPr>
            <w:tcW w:w="1813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690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26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2028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/>
        <w:tc>
          <w:tcPr>
            <w:tcW w:w="1813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690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26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2029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/>
        <w:tc>
          <w:tcPr>
            <w:tcW w:w="1813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690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26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2030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/>
        <w:tc>
          <w:tcPr>
            <w:tcW w:w="1813" w:type="dxa"/>
            <w:vMerge w:val="continue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690" w:type="dxa"/>
            <w:vMerge w:val="continue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26" w:type="dxa"/>
            <w:vMerge w:val="continue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1,2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1,2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/>
        <w:tc>
          <w:tcPr>
            <w:tcW w:w="18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6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ответственный исполнитель – юридический отдел администрации города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2023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0,4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0,4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/>
        <w:tc>
          <w:tcPr>
            <w:tcW w:w="1813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690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26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0,4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0,4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/>
        <w:tc>
          <w:tcPr>
            <w:tcW w:w="1813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690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26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2025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0,4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0,4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/>
        <w:tc>
          <w:tcPr>
            <w:tcW w:w="1813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690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26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2026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/>
        <w:tc>
          <w:tcPr>
            <w:tcW w:w="1813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690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26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2027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/>
        <w:tc>
          <w:tcPr>
            <w:tcW w:w="1813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690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26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2028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/>
        <w:tc>
          <w:tcPr>
            <w:tcW w:w="1813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690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26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2029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/>
        <w:tc>
          <w:tcPr>
            <w:tcW w:w="1813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690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26" w:type="dxa"/>
            <w:vMerge w:val="continue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2030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  <w:tr>
        <w:trPr/>
        <w:tc>
          <w:tcPr>
            <w:tcW w:w="1813" w:type="dxa"/>
            <w:vMerge w:val="continue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2690" w:type="dxa"/>
            <w:vMerge w:val="continue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26" w:type="dxa"/>
            <w:vMerge w:val="continue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before="10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1,2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1,2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0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-</w:t>
            </w:r>
          </w:p>
        </w:tc>
      </w:tr>
    </w:tbl>
    <w:p>
      <w:pPr>
        <w:sectPr>
          <w:headerReference w:type="default" r:id="rId3"/>
          <w:type w:val="nextPage"/>
          <w:pgSz w:orient="landscape" w:w="16838" w:h="11906"/>
          <w:pgMar w:left="851" w:right="536" w:gutter="0" w:header="709" w:top="1440" w:footer="0" w:bottom="851"/>
          <w:pgNumType w:fmt="decimal"/>
          <w:formProt w:val="false"/>
          <w:titlePg/>
          <w:textDirection w:val="lrTb"/>
          <w:docGrid w:type="default" w:linePitch="360" w:charSpace="4294955007"/>
        </w:sectPr>
        <w:pStyle w:val="Normal"/>
        <w:spacing w:before="100" w:after="200"/>
        <w:jc w:val="both"/>
        <w:rPr/>
      </w:pPr>
      <w:r>
        <w:rPr/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p>
      <w:pPr>
        <w:pStyle w:val="Normal"/>
        <w:widowControl w:val="false"/>
        <w:spacing w:lineRule="exact" w:line="240" w:before="0" w:after="0"/>
        <w:ind w:left="4395" w:hanging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ПРИЛОЖЕНИЕ № 4</w:t>
      </w:r>
    </w:p>
    <w:p>
      <w:pPr>
        <w:pStyle w:val="Normal"/>
        <w:widowControl w:val="false"/>
        <w:spacing w:lineRule="exact" w:line="240" w:before="0" w:after="0"/>
        <w:ind w:left="4395" w:hanging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 муниципальной программе «Обеспечение безопасности населения города Кирсанова и противодействие преступности на 2015-2030 годы»</w:t>
      </w:r>
    </w:p>
    <w:p>
      <w:pPr>
        <w:pStyle w:val="ConsPlusNormal"/>
        <w:widowControl/>
        <w:ind w:hanging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ConsPlusNormal"/>
        <w:widowControl/>
        <w:ind w:hanging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ConsPlusNormal"/>
        <w:widowControl/>
        <w:ind w:hanging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ПОДПРОГРАММА</w:t>
      </w:r>
    </w:p>
    <w:p>
      <w:pPr>
        <w:pStyle w:val="ConsPlusNormal"/>
        <w:widowControl/>
        <w:ind w:hanging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«Обеспечение общественного порядка и противодействие преступности </w:t>
      </w:r>
    </w:p>
    <w:p>
      <w:pPr>
        <w:pStyle w:val="ConsPlusNormal"/>
        <w:widowControl/>
        <w:ind w:hanging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в городе Кирсанове на 2015-2030 годы»</w:t>
      </w:r>
    </w:p>
    <w:p>
      <w:pPr>
        <w:pStyle w:val="ConsPlusNormal"/>
        <w:widowControl/>
        <w:ind w:hanging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"/>
        <w:widowControl/>
        <w:ind w:hanging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Паспорт подпрограммы</w:t>
      </w:r>
    </w:p>
    <w:p>
      <w:pPr>
        <w:pStyle w:val="ConsPlusNormal"/>
        <w:widowControl/>
        <w:ind w:hanging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tbl>
      <w:tblPr>
        <w:tblW w:w="9780" w:type="dxa"/>
        <w:jc w:val="left"/>
        <w:tblInd w:w="9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2835"/>
        <w:gridCol w:w="6944"/>
      </w:tblGrid>
      <w:tr>
        <w:trPr/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Ответственный исполнитель подпрограммы</w:t>
            </w:r>
          </w:p>
        </w:tc>
        <w:tc>
          <w:tcPr>
            <w:tcW w:w="6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widowControl w:val="false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Отдел гражданской обороны, чрезвычайных ситуаций и  общественной безопасности администрации города</w:t>
            </w:r>
          </w:p>
        </w:tc>
      </w:tr>
      <w:tr>
        <w:trPr/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Соисполнители подпрограммы</w:t>
            </w:r>
          </w:p>
        </w:tc>
        <w:tc>
          <w:tcPr>
            <w:tcW w:w="6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widowControl w:val="false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eastAsia="zh-CN"/>
              </w:rPr>
              <w:t>Отдел образования администрации города;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eastAsia="zh-CN"/>
              </w:rPr>
              <w:t>Отдел по культуре и молодежной политике администрации города;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eastAsia="zh-CN"/>
              </w:rPr>
              <w:t>Отдел по развитию физической культуры, спорту и туризму администрации города;</w:t>
            </w:r>
          </w:p>
          <w:p>
            <w:pPr>
              <w:pStyle w:val="ConsPlusCell"/>
              <w:widowControl w:val="false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eastAsia="zh-CN"/>
              </w:rPr>
              <w:t>МОМВД России «Кирсановский» (по согласованию);</w:t>
            </w:r>
          </w:p>
          <w:p>
            <w:pPr>
              <w:pStyle w:val="ConsPlusCell"/>
              <w:widowControl w:val="fals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eastAsia="zh-CN"/>
              </w:rPr>
              <w:t>УФСИН России по Тамбовской области (по согласованию);</w:t>
            </w:r>
          </w:p>
        </w:tc>
      </w:tr>
      <w:tr>
        <w:trPr/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Цели подпрограммы</w:t>
            </w:r>
          </w:p>
        </w:tc>
        <w:tc>
          <w:tcPr>
            <w:tcW w:w="6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Совершенствование единой многоуровневой системы профилактики правонарушений, обеспечивающей защиту прав и свобод человека и гражданина, общественный порядок и безопасность, охрану собственности и повышение эффективности в борьбе с преступностью</w:t>
            </w:r>
          </w:p>
        </w:tc>
      </w:tr>
      <w:tr>
        <w:trPr/>
        <w:tc>
          <w:tcPr>
            <w:tcW w:w="2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69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 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-снижение уровня правонарушений в городе;</w:t>
            </w:r>
          </w:p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 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- воссоздание института социальной профилактики и вовлечение общественности в предупреждение правонарушений;</w:t>
            </w:r>
          </w:p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  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-ресоциализация лиц, освободившихся из мест лишения свободы, а также обеспечение исполнения уголовных наказаний, не связанных с лишением свободы;</w:t>
            </w:r>
          </w:p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  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-обеспечение безопасности граждан на улицах и в других общественных местах.</w:t>
            </w:r>
          </w:p>
        </w:tc>
      </w:tr>
      <w:tr>
        <w:trPr/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Целевые индикаторы и показатели подпрограммы, их значения на последний год реализации</w:t>
            </w:r>
          </w:p>
        </w:tc>
        <w:tc>
          <w:tcPr>
            <w:tcW w:w="6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snapToGrid w:val="false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Преступления, совершенные несовершеннолетними или при их соучастии – 7 случаев;</w:t>
            </w:r>
          </w:p>
          <w:p>
            <w:pPr>
              <w:pStyle w:val="Standard"/>
              <w:widowControl w:val="false"/>
              <w:snapToGrid w:val="false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Преступления, совершенные лицами, ранее их совершавшими – 66 случаев;</w:t>
            </w:r>
          </w:p>
          <w:p>
            <w:pPr>
              <w:pStyle w:val="Standard"/>
              <w:widowControl w:val="false"/>
              <w:snapToGrid w:val="false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Объекты, оборудованные системами видеонаблюдения – 17 ед.</w:t>
            </w:r>
          </w:p>
        </w:tc>
      </w:tr>
      <w:tr>
        <w:trPr/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Сроки реализации подпрограммы</w:t>
            </w:r>
          </w:p>
        </w:tc>
        <w:tc>
          <w:tcPr>
            <w:tcW w:w="6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Подпрограмма реализуется в течение 2015 - 2030 годов</w:t>
            </w:r>
          </w:p>
        </w:tc>
      </w:tr>
      <w:tr>
        <w:trPr/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Объем и источники финансирования подпрограммы</w:t>
            </w:r>
          </w:p>
        </w:tc>
        <w:tc>
          <w:tcPr>
            <w:tcW w:w="6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snapToGrid w:val="false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Общий объем финансирования подпрограммы в 2015-2030 годах составит — 1151,25 тыс. рублей, в том числе: за счет средств бюджета города — 1151,25 тыс. рублей;  в том числе по годам:</w:t>
            </w:r>
          </w:p>
          <w:p>
            <w:pPr>
              <w:pStyle w:val="Standard"/>
              <w:widowControl w:val="false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2015 год – 99,85 тыс. рублей;</w:t>
            </w:r>
          </w:p>
          <w:p>
            <w:pPr>
              <w:pStyle w:val="Standard"/>
              <w:widowControl w:val="false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2016 год – 180,0 тыс. рублей;</w:t>
            </w:r>
          </w:p>
          <w:p>
            <w:pPr>
              <w:pStyle w:val="Standard"/>
              <w:widowControl w:val="false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2017 год – 110,0 тыс. рублей;</w:t>
            </w:r>
          </w:p>
          <w:p>
            <w:pPr>
              <w:pStyle w:val="Standard"/>
              <w:widowControl w:val="false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2018 год – 218,5 тыс. рублей;</w:t>
            </w:r>
          </w:p>
          <w:p>
            <w:pPr>
              <w:pStyle w:val="Standard"/>
              <w:widowControl w:val="false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2019 год – 57,6 тыс. рублей;</w:t>
            </w:r>
          </w:p>
          <w:p>
            <w:pPr>
              <w:pStyle w:val="Standard"/>
              <w:widowControl w:val="false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 год – 4,0 тыс. рублей;</w:t>
            </w:r>
          </w:p>
          <w:p>
            <w:pPr>
              <w:pStyle w:val="Standard"/>
              <w:widowControl w:val="false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2021 год – 0 тыс. рублей;</w:t>
            </w:r>
          </w:p>
          <w:p>
            <w:pPr>
              <w:pStyle w:val="Standard"/>
              <w:widowControl w:val="false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2022 год – 81,3 тыс. рублей;</w:t>
            </w:r>
          </w:p>
          <w:p>
            <w:pPr>
              <w:pStyle w:val="Standard"/>
              <w:widowControl w:val="false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2023 год – 50,0 тыс. рублей;</w:t>
            </w:r>
          </w:p>
          <w:p>
            <w:pPr>
              <w:pStyle w:val="Standard"/>
              <w:widowControl w:val="false"/>
              <w:snapToGrid w:val="false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2024 год – 50,0 тыс. рублей.</w:t>
            </w:r>
          </w:p>
          <w:p>
            <w:pPr>
              <w:pStyle w:val="Standard"/>
              <w:widowControl w:val="false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2025 год – 50,0 тыс. рублей;</w:t>
            </w:r>
          </w:p>
          <w:p>
            <w:pPr>
              <w:pStyle w:val="Standard"/>
              <w:widowControl w:val="false"/>
              <w:snapToGrid w:val="false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2026 год – 50,0 тыс. рублей.</w:t>
            </w:r>
          </w:p>
          <w:p>
            <w:pPr>
              <w:pStyle w:val="Standard"/>
              <w:widowControl w:val="false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2027 год – 50,0 тыс. рублей;</w:t>
            </w:r>
          </w:p>
          <w:p>
            <w:pPr>
              <w:pStyle w:val="Standard"/>
              <w:widowControl w:val="false"/>
              <w:snapToGrid w:val="false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2028 год – 50,0 тыс. рублей.</w:t>
            </w:r>
          </w:p>
          <w:p>
            <w:pPr>
              <w:pStyle w:val="Standard"/>
              <w:widowControl w:val="false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2029 год – 50,0 тыс. рублей;</w:t>
            </w:r>
          </w:p>
          <w:p>
            <w:pPr>
              <w:pStyle w:val="Standard"/>
              <w:widowControl w:val="false"/>
              <w:snapToGrid w:val="false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2030 год – 50,0 тыс. рублей.</w:t>
            </w:r>
          </w:p>
          <w:p>
            <w:pPr>
              <w:pStyle w:val="Standard"/>
              <w:widowControl w:val="false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</w:tbl>
    <w:p>
      <w:pPr>
        <w:pStyle w:val="ConsPlusNormal"/>
        <w:widowControl/>
        <w:ind w:hanging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 Общая характеристика сферы реализации подпрограммы</w:t>
      </w:r>
    </w:p>
    <w:p>
      <w:pPr>
        <w:pStyle w:val="Normal"/>
        <w:spacing w:lineRule="auto" w:line="240" w:before="0" w:after="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Textbody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Федеральным законом от 06 октября 2003 г. № 131-ФЗ «Об общих принципах организации местного самоуправления в РФ» установлено, что организация охраны общественного порядка на территории муниципального образования, участие в профилактике терроризма и экстремизма, а также минимизации или ликвидации проявлений терроризма и экстремизма являются вопросами местного значения городского округа. </w:t>
      </w:r>
    </w:p>
    <w:p>
      <w:pPr>
        <w:pStyle w:val="Textbody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Поручениями Президента Российской Федерации                  от 13 июля 2007 г. № ПР-1293 и от 25 февраля 2009 г. № Пр-444 реализация данных полномочий осуществляется путем принятия муниципальных программ, предусматривающих финансирование соответствующих мероприятий, направленных на совершенствование единой многоуровневой системы профилактики правонарушений.</w:t>
      </w:r>
    </w:p>
    <w:p>
      <w:pPr>
        <w:pStyle w:val="Textbody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Можно констатировать, что на территории города в настоящее время создана многоуровневая система профилактики правонарушений, обеспечивающая защиту прав и свобод человека и гражданина, общественный порядок и безопасность, охрану собственности и повышение эффективности в борьбе с преступностью.</w:t>
      </w:r>
    </w:p>
    <w:p>
      <w:pPr>
        <w:pStyle w:val="Textbody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течение последних лет вопросами профилактики правонарушений на качественно новом уровне занимались не только правоохранительные органы, но и органы исполнительной власти, структурные подразделения администрации области, администрация города, общественные организации. Выстроена система взаимодействия всех заинтересованных структур, а также обеспечен контроль за реализацией принимаемых решений в соответствии с постановлениями администрации города от 13 сентября 2006 г. №623 «О создании городской межведомственной комиссии по профилактике правонарушений», от 08 декабря 2010 г. № 1307 «О Совете профилактики правонарушений на территории городского округа - город Кирсанов».</w:t>
      </w:r>
    </w:p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Совместная работа всех субъектов профилактики позволила сохранить контроль за криминогенной ситуацией в городе и обеспечить безопасность граждан на должном уровне.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По итогам 9 месяцев 2014 года общее количество зарегистрированных преступлений в городе сократилось на 10,7% (с 272 до 183случаев).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Снизилось количество преступлений, совершенных несовершеннолетними или при их участии – 50% (с 8 до 4 случаев).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На протяжении 9 месяцев 2014 года прослеживалась тенденция по снижению преступлений, совершенных ранее судимыми лицами с 78 до 65, снижение составило 16,7%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Принимаемыми профилактическими мерами, в том числе и административного характера, удалось стабилизировать ситуацию по преступности в общественных местах и на улице. Количество зарегистрированных преступлений за 9 месяцев 2014 года в общественных местах снизилось на 35,6% (с 87 до 56 случаев), в том числе на улице на 15,4% (с 39 до 33).</w:t>
      </w:r>
    </w:p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 связи с реформированием Министерства внутренних дел Российской Федерации общая численность сотрудников межмуниципального отдела Министерства внутренних дел Российской Федерации «Кирсановский» сокращена на 22%, что потребовало корректировки традиционных методов поддержания правопорядка, активного участия всех субъектов профилактики правонарушений в данной работе, в том числе населения города.</w:t>
      </w:r>
    </w:p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Состояние общественного порядка и безопасность населения являются оценочными показателями эффективности деятельности администрации города.</w:t>
      </w:r>
    </w:p>
    <w:p>
      <w:pPr>
        <w:pStyle w:val="Normal"/>
        <w:tabs>
          <w:tab w:val="clear" w:pos="708"/>
          <w:tab w:val="left" w:pos="720" w:leader="none"/>
        </w:tabs>
        <w:spacing w:lineRule="auto" w:line="240" w:before="0" w:after="0"/>
        <w:ind w:left="14" w:hanging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  <w:t>Учитывая изложенное, необходимо констатировать, что максимального результата по обеспечению правопорядка и прав граждан на территории города можно достичь программно-целевым подходом в решении данного вопроса.</w:t>
      </w:r>
    </w:p>
    <w:p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jc w:val="center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>2. Приоритеты региональной  государственной политики и социально-экономического развития города в сфере реализации подпрограммы, цели, задачи, сроки и этапы реализации подпрограммы</w:t>
      </w:r>
    </w:p>
    <w:p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Основной целью подпрограммы является совершенствование единой многоуровневой системы профилактики правонарушений, обеспечивающей защиту прав и свобод человека и гражданина, общественный порядок и безопасность, охрану собственности и повышение эффективности в борьбе с преступностью.</w:t>
      </w:r>
    </w:p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Подпрограмма рассчитана на 2015-2030 годы и предполагает решение следующих задач:</w:t>
      </w:r>
    </w:p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снижение уровня правонарушений в городе</w:t>
      </w:r>
      <w:r>
        <w:rPr>
          <w:rFonts w:cs="Times New Roman" w:ascii="Times New Roman" w:hAnsi="Times New Roman"/>
          <w:sz w:val="28"/>
          <w:szCs w:val="28"/>
        </w:rPr>
        <w:t>;</w:t>
      </w:r>
    </w:p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воссоздание института социальной профилактики и вовлечение общественности в предупреждение правонарушений;</w:t>
      </w:r>
    </w:p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ресоциализация лиц, освободившихся из мест лишения свободы, а также обеспечение исполнения уголовных наказаний, не связанных с лишением свободы;</w:t>
      </w:r>
    </w:p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обеспечение безопасности граждан на улицах и в других общественных местах;</w:t>
      </w:r>
    </w:p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профилактика правонарушений и борьба с преступностью в городе.</w:t>
      </w:r>
    </w:p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3. Показатели (индикаторы) достижения цели и решения задач, основные ожидаемые конечные результаты подпрограммы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Показателями (индикаторами) реализации подпрограммы является:</w:t>
      </w:r>
    </w:p>
    <w:p>
      <w:pPr>
        <w:pStyle w:val="Standard"/>
        <w:snapToGrid w:val="false"/>
        <w:jc w:val="both"/>
        <w:rPr>
          <w:sz w:val="28"/>
          <w:szCs w:val="28"/>
        </w:rPr>
      </w:pPr>
      <w:r>
        <w:rPr>
          <w:sz w:val="28"/>
          <w:szCs w:val="28"/>
        </w:rPr>
        <w:tab/>
        <w:t>преступления, совершенные несовершеннолетними или при их соучастии;</w:t>
      </w:r>
    </w:p>
    <w:p>
      <w:pPr>
        <w:pStyle w:val="Standard"/>
        <w:snapToGrid w:val="false"/>
        <w:jc w:val="both"/>
        <w:rPr>
          <w:sz w:val="28"/>
          <w:szCs w:val="28"/>
        </w:rPr>
      </w:pPr>
      <w:r>
        <w:rPr>
          <w:sz w:val="28"/>
          <w:szCs w:val="28"/>
        </w:rPr>
        <w:tab/>
        <w:t>преступления, совершенные лицами, ранее их совершавшими;</w:t>
      </w:r>
    </w:p>
    <w:p>
      <w:pPr>
        <w:pStyle w:val="Standard"/>
        <w:snapToGrid w:val="false"/>
        <w:jc w:val="both"/>
        <w:rPr>
          <w:sz w:val="28"/>
          <w:szCs w:val="28"/>
        </w:rPr>
      </w:pPr>
      <w:r>
        <w:rPr>
          <w:sz w:val="28"/>
          <w:szCs w:val="28"/>
        </w:rPr>
        <w:tab/>
        <w:t>объекты, оборудованные системами видеонаблюдения.</w:t>
      </w:r>
    </w:p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Реализация мероприятий подпрограммы позволит достичь к 2030 году следующих результатов:</w:t>
      </w:r>
    </w:p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повысится эффективность государственной системы социальной профилактики правонарушений;</w:t>
      </w:r>
    </w:p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- улучшится профилактика правонарушений в среде несовершеннолетних и молодежи </w:t>
      </w:r>
      <w:bookmarkStart w:id="4" w:name="__DdeLink__1523_1101880108"/>
      <w:r>
        <w:rPr>
          <w:rFonts w:cs="Times New Roman" w:ascii="Times New Roman" w:hAnsi="Times New Roman"/>
          <w:sz w:val="28"/>
          <w:szCs w:val="28"/>
        </w:rPr>
        <w:t>(количество преступлений, совершенных несовершеннолетними или при их соучастии, уменьшится с 10 случаев до 7);</w:t>
      </w:r>
      <w:bookmarkEnd w:id="4"/>
    </w:p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усилится контроль за миграционными потоками, путем снижения количества незаконных мигрантов;</w:t>
      </w:r>
    </w:p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увеличится количество объектов оборудованных системой видеонаблюдения в местах с массовым пребыванием людей с 10 до 17 единиц.</w:t>
      </w:r>
    </w:p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Результаты реализации подпрограммы позволят закрепить тенденцию общей стабилизации криминогенной ситуации, снижению доли тяжких преступлений, уменьшению темпов роста организованной преступности в целом.</w:t>
      </w:r>
    </w:p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4. Обобщенная характеристика мероприятий подпрограммы</w:t>
      </w:r>
    </w:p>
    <w:p>
      <w:pPr>
        <w:pStyle w:val="Normal"/>
        <w:spacing w:lineRule="auto" w:line="240" w:before="0" w:after="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Основные мероприятия подпрограммы направлены на достижение ее целей и на решение наиболее важных текущих и перспективных задач в сфере профилактики правонарушений и обеспечения правопорядка.</w:t>
      </w:r>
    </w:p>
    <w:p>
      <w:pPr>
        <w:pStyle w:val="BodyTextIndent3"/>
        <w:widowControl w:val="false"/>
        <w:tabs>
          <w:tab w:val="clear" w:pos="708"/>
          <w:tab w:val="left" w:pos="540" w:leader="none"/>
          <w:tab w:val="left" w:pos="720" w:leader="none"/>
        </w:tabs>
        <w:spacing w:before="0" w:after="0"/>
        <w:ind w:left="0" w:hanging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Программа включает мероприятия по приоритетным направлениям в сфере профилактики правонарушений:</w:t>
      </w:r>
    </w:p>
    <w:p>
      <w:pPr>
        <w:pStyle w:val="BodyTextIndent3"/>
        <w:widowControl w:val="false"/>
        <w:tabs>
          <w:tab w:val="clear" w:pos="708"/>
          <w:tab w:val="left" w:pos="540" w:leader="none"/>
          <w:tab w:val="left" w:pos="720" w:leader="none"/>
        </w:tabs>
        <w:spacing w:before="0" w:after="0"/>
        <w:ind w:left="0" w:hanging="0"/>
        <w:jc w:val="both"/>
        <w:rPr>
          <w:sz w:val="28"/>
          <w:szCs w:val="28"/>
        </w:rPr>
      </w:pPr>
      <w:r>
        <w:rPr>
          <w:sz w:val="28"/>
          <w:szCs w:val="28"/>
        </w:rPr>
        <w:tab/>
        <w:t>- снижение уровня правонарушений в городе;</w:t>
      </w:r>
    </w:p>
    <w:p>
      <w:pPr>
        <w:pStyle w:val="BodyTextIndent3"/>
        <w:widowControl w:val="false"/>
        <w:tabs>
          <w:tab w:val="clear" w:pos="708"/>
          <w:tab w:val="left" w:pos="540" w:leader="none"/>
          <w:tab w:val="left" w:pos="720" w:leader="none"/>
        </w:tabs>
        <w:spacing w:before="0" w:after="0"/>
        <w:ind w:left="0" w:hanging="0"/>
        <w:jc w:val="both"/>
        <w:rPr>
          <w:sz w:val="28"/>
          <w:szCs w:val="28"/>
        </w:rPr>
      </w:pPr>
      <w:r>
        <w:rPr>
          <w:sz w:val="28"/>
          <w:szCs w:val="28"/>
        </w:rPr>
        <w:tab/>
        <w:t>- воссоздание института социальной профилактики и вовлечение общественности в предупреждение правонарушений;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участие представителей администрации города и общественных формирований профилактической направленности города в проводимых МОМВД России «Кирсановский» по отдельным планам, с учетом криминогенной обстановки, комплексных оперативно-профилактических операциях: "Условник", "Быт", "Участок", "Подросток", "Нелегальный мигрант", "Контрафакт", "Дни профилактики" и иных мероприятиях по обеспечению правопорядка на территории города;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освещение основных направлений реализации подпрограммы по профилактике правонарушений в средствах массовой информации;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организация работы среди несовершеннолетних и молодежи, направленной на снижение подростковой преступности, а также преступных проявлений в отношении несовершеннолетних;</w:t>
      </w:r>
    </w:p>
    <w:p>
      <w:pPr>
        <w:pStyle w:val="BodyTextIndent3"/>
        <w:widowControl w:val="false"/>
        <w:tabs>
          <w:tab w:val="clear" w:pos="708"/>
          <w:tab w:val="left" w:pos="540" w:leader="none"/>
          <w:tab w:val="left" w:pos="720" w:leader="none"/>
        </w:tabs>
        <w:spacing w:before="0" w:after="0"/>
        <w:ind w:left="0" w:hanging="0"/>
        <w:jc w:val="both"/>
        <w:rPr>
          <w:sz w:val="28"/>
          <w:szCs w:val="28"/>
        </w:rPr>
      </w:pPr>
      <w:r>
        <w:rPr>
          <w:sz w:val="28"/>
          <w:szCs w:val="28"/>
        </w:rPr>
        <w:tab/>
        <w:t>- рессоциализация лиц, освободившихся из мест лишения свободы, а также обеспечение исполнения уголовных наказаний, не связанных с лишением свободы;</w:t>
      </w:r>
    </w:p>
    <w:p>
      <w:pPr>
        <w:pStyle w:val="BodyTextIndent3"/>
        <w:widowControl w:val="false"/>
        <w:tabs>
          <w:tab w:val="clear" w:pos="708"/>
          <w:tab w:val="left" w:pos="540" w:leader="none"/>
          <w:tab w:val="left" w:pos="720" w:leader="none"/>
        </w:tabs>
        <w:spacing w:before="0" w:after="0"/>
        <w:ind w:left="0" w:hanging="0"/>
        <w:jc w:val="both"/>
        <w:rPr>
          <w:sz w:val="28"/>
          <w:szCs w:val="28"/>
        </w:rPr>
      </w:pPr>
      <w:r>
        <w:rPr>
          <w:sz w:val="28"/>
          <w:szCs w:val="28"/>
        </w:rPr>
        <w:tab/>
        <w:t>- обеспечение безопасности граждан на улицах и в других общественных местах;</w:t>
      </w:r>
    </w:p>
    <w:p>
      <w:pPr>
        <w:pStyle w:val="BodyTextIndent3"/>
        <w:widowControl w:val="false"/>
        <w:tabs>
          <w:tab w:val="clear" w:pos="708"/>
          <w:tab w:val="left" w:pos="540" w:leader="none"/>
          <w:tab w:val="left" w:pos="720" w:leader="none"/>
        </w:tabs>
        <w:spacing w:before="0" w:after="0"/>
        <w:ind w:left="0" w:hanging="0"/>
        <w:jc w:val="both"/>
        <w:rPr>
          <w:sz w:val="28"/>
          <w:szCs w:val="28"/>
        </w:rPr>
      </w:pPr>
      <w:r>
        <w:rPr>
          <w:sz w:val="28"/>
          <w:szCs w:val="28"/>
        </w:rPr>
        <w:tab/>
        <w:t>- формирование единой межведомственной миграционной политики направленной на профилактику нарушений законодательства о гражданстве, предупреждение и пресечение нелегальной миграции.</w:t>
      </w:r>
    </w:p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Мероприятия, направленные на воссоздание института социальной профилактики и вовлечение общественности в предупреждение правонарушений:</w:t>
      </w:r>
    </w:p>
    <w:p>
      <w:pPr>
        <w:pStyle w:val="Textbody"/>
        <w:spacing w:lineRule="auto" w:line="240" w:before="0" w:after="0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участие представителей администрации города и общественных формирований профилактической направленности города в проводимых мероприятиях по профилактике правонарушений;</w:t>
        <w:tab/>
      </w:r>
    </w:p>
    <w:p>
      <w:pPr>
        <w:pStyle w:val="Normal"/>
        <w:spacing w:lineRule="auto" w:line="240" w:before="0" w:after="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участие общественности в проведении воспитательной работы по месту жительства с лицами, осужденными к уголовному наказанию в виде ограничения свободы;</w:t>
      </w:r>
    </w:p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формирование актива общественности для контроля за поведением лиц, освободившихся из мест лишения свободы, а также осужденных к мерам наказания, не связанным с лишением свободы, с целью предупреждения совершения ими противоправных деяний.</w:t>
      </w:r>
    </w:p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Мероприятия, направленные на ресоциализацию лиц, освободившихся из мест лишения свободы, а также обеспечение исполнения уголовных наказаний, не связанных с лишением свободы:</w:t>
      </w:r>
    </w:p>
    <w:p>
      <w:pPr>
        <w:pStyle w:val="Textbody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организация деятельности рабочей группы, в рамках городской межведомственной комиссии по профилактике правонарушений города, осуществляющих функции по социальной адаптации лиц, освободившихся из мест лишения свободы, а также осужденным без изоляции от общества (трудовое и бытовое устройство);</w:t>
      </w:r>
    </w:p>
    <w:p>
      <w:pPr>
        <w:pStyle w:val="Normal"/>
        <w:spacing w:lineRule="auto" w:line="240" w:before="0" w:after="0"/>
        <w:ind w:firstLine="720"/>
        <w:jc w:val="both"/>
        <w:rPr/>
      </w:pPr>
      <w:r>
        <w:rPr>
          <w:rFonts w:ascii="Times New Roman" w:hAnsi="Times New Roman"/>
          <w:sz w:val="28"/>
          <w:szCs w:val="28"/>
        </w:rPr>
        <w:t>эффективное использование сведений банка данных об освобождающихся лицах, получивших специальность в местах лишения свободы, в целях их трудоустройства;</w:t>
      </w:r>
    </w:p>
    <w:p>
      <w:pPr>
        <w:pStyle w:val="Normal"/>
        <w:spacing w:lineRule="auto" w:line="240" w:before="0" w:after="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создание условий для участия жителей города, осужденных к наказаниям и мерам уголовно-правового характера без изоляции от общества, в том числе несовершеннолетних, страдающих различными видами зависимости в реабилитационных программах;</w:t>
      </w:r>
    </w:p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обеспечения эффективности прохождения добровольного лечения от алкогольной и наркотической зависимости лицами, допускающими нарушения правопорядка в сфере семейно-бытовых отношений, в том числе осужденными к наказаниям и мерам уголовно-правового характера без изоляции от общества.</w:t>
      </w:r>
    </w:p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Мероприятия, направленные на обеспечение безопасности граждан на улицах и в других общественных местах: </w:t>
      </w:r>
    </w:p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оборудование мест массового пребывания граждан средствами видеонаблюдения;</w:t>
      </w:r>
    </w:p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оборудование освещением улиц и мест массового пребывания граждан. </w:t>
      </w:r>
    </w:p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5. Обоснование ресурсного обеспечения подпрограммы</w:t>
      </w:r>
    </w:p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Источником финансирования подпрограммы являются средства бюджета города.</w:t>
      </w:r>
    </w:p>
    <w:p>
      <w:pPr>
        <w:pStyle w:val="Standard"/>
        <w:snapToGrid w:val="false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Общий объем финансирования подпрограммы в 2015-2030 годах составит — 1151,25 тыс. рублей, в том числе за счет средств бюджета города — 1151,25 тыс. рублей;  в том числе по годам:</w:t>
      </w:r>
    </w:p>
    <w:p>
      <w:pPr>
        <w:pStyle w:val="Standard"/>
        <w:jc w:val="both"/>
        <w:rPr>
          <w:color w:val="000000"/>
          <w:sz w:val="28"/>
          <w:szCs w:val="28"/>
        </w:rPr>
      </w:pPr>
      <w:r>
        <w:rPr>
          <w:color w:val="FF0000"/>
          <w:sz w:val="28"/>
          <w:szCs w:val="28"/>
        </w:rPr>
        <w:tab/>
      </w:r>
      <w:r>
        <w:rPr>
          <w:color w:val="000000"/>
          <w:sz w:val="28"/>
          <w:szCs w:val="28"/>
        </w:rPr>
        <w:t>- 2015 год – 99,85 тыс. руб;</w:t>
        <w:tab/>
        <w:tab/>
        <w:t>- 2025 год - 50,0 тыс. руб;</w:t>
      </w:r>
    </w:p>
    <w:p>
      <w:pPr>
        <w:pStyle w:val="Standard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- 2016 год – 180,0 тыс. руб;</w:t>
        <w:tab/>
        <w:tab/>
        <w:t>- 2026 год – 50,0 тыс. руб;</w:t>
      </w:r>
    </w:p>
    <w:p>
      <w:pPr>
        <w:pStyle w:val="Standard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- 2017 год – 110,0 тыс. руб;               - 2027 год – 50,0 тыс. руб;</w:t>
      </w:r>
    </w:p>
    <w:p>
      <w:pPr>
        <w:pStyle w:val="Standard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- 2018 год – 218,5 тыс. руб;</w:t>
        <w:tab/>
        <w:tab/>
        <w:t>- 2028 год – 50,0 тыс. руб;</w:t>
      </w:r>
    </w:p>
    <w:p>
      <w:pPr>
        <w:pStyle w:val="Standard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- 2019 год – 57,6 тыс. руб;</w:t>
        <w:tab/>
        <w:tab/>
        <w:t>- 2029 год – 50,0 тыс. руб;</w:t>
      </w:r>
    </w:p>
    <w:p>
      <w:pPr>
        <w:pStyle w:val="Standard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</w:t>
      </w:r>
      <w:r>
        <w:rPr>
          <w:color w:val="000000"/>
          <w:sz w:val="28"/>
          <w:szCs w:val="28"/>
        </w:rPr>
        <w:t>- 2020 год – 4,0 тыс. руб;</w:t>
        <w:tab/>
        <w:tab/>
        <w:t>- 2030 год – 50,0 тыс. руб.».</w:t>
      </w:r>
    </w:p>
    <w:p>
      <w:pPr>
        <w:pStyle w:val="Standard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- 2021 год – 0 тыс. руб;</w:t>
      </w:r>
    </w:p>
    <w:p>
      <w:pPr>
        <w:pStyle w:val="Standard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- 2022 год – 81,3 тыс. руб;</w:t>
      </w:r>
    </w:p>
    <w:p>
      <w:pPr>
        <w:pStyle w:val="Standard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- 2023 год – 50,0 тыс. руб;</w:t>
      </w:r>
    </w:p>
    <w:p>
      <w:pPr>
        <w:pStyle w:val="Standard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- 2024 год – 50,0 тыс. руб;</w:t>
      </w:r>
    </w:p>
    <w:p>
      <w:pPr>
        <w:pStyle w:val="ConsPlusNormal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6. Механизм реализации подпрограммы</w:t>
      </w:r>
    </w:p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Распорядителями бюджетных средств является администрация города.</w:t>
      </w:r>
    </w:p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Финансирование мероприятий программы предусматривается за счет средств бюджета города.</w:t>
      </w:r>
    </w:p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Приобретение материальных средств осуществляется на основании Федерального закона от 05 апреля 2013г. № 44-ФЗ «О контрактной системе в сфере закупок товаров, работ, услуг для обеспечения государственных и муниципальных нужд».</w:t>
      </w:r>
    </w:p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Общий контроль исполнения подпрограммы осуществляет межведомственная комиссия по профилактике правонарушений в городе, которая уточняет показатели по подпрограммным мероприятиям, механизм реализации подпрограммы и состав исполнителей. Организация работ по контролю исполнения подпрограммы возлагается на отдел гражданской обороны, чрезвычайных ситуаций, общественной безопасности и мобилизационной подготовки администрации города.</w:t>
      </w:r>
    </w:p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Участники подпрограммы, ответственные за выполнение перечня мероприятий, ежегодно, до 10 июля и до 15 февраля (нарастающим итогом с начала года) года, следующего за отчетным периодом, представляют в отдел ГО, ЧС, общественной безопасности и мобилизационной подготовки администрации города информацию о ходе выполнения мероприятий подпрограммы.</w:t>
      </w:r>
    </w:p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Ход и результаты выполнения мероприятий подпрограммы рассматриваются на заседании межведомственной комиссии по профилактике правонарушений города и освещаются в средствах массовой информации.</w:t>
      </w:r>
    </w:p>
    <w:p>
      <w:pPr>
        <w:pStyle w:val="Normal"/>
        <w:widowControl w:val="false"/>
        <w:spacing w:lineRule="exact" w:line="240" w:before="0"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Normal"/>
        <w:widowControl w:val="false"/>
        <w:spacing w:lineRule="exact" w:line="240" w:before="0" w:after="0"/>
        <w:ind w:left="4395" w:hanging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Normal"/>
        <w:widowControl w:val="false"/>
        <w:spacing w:lineRule="exact" w:line="240" w:before="0" w:after="0"/>
        <w:ind w:left="4395" w:hanging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Normal"/>
        <w:widowControl w:val="false"/>
        <w:spacing w:lineRule="exact" w:line="240" w:before="0" w:after="0"/>
        <w:ind w:left="4395" w:hanging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Normal"/>
        <w:widowControl w:val="false"/>
        <w:spacing w:lineRule="exact" w:line="240" w:before="0" w:after="0"/>
        <w:ind w:left="4395" w:hanging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Normal"/>
        <w:widowControl w:val="false"/>
        <w:spacing w:lineRule="exact" w:line="240" w:before="0" w:after="0"/>
        <w:ind w:left="4395" w:hanging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Normal"/>
        <w:widowControl w:val="false"/>
        <w:spacing w:lineRule="exact" w:line="240" w:before="0" w:after="0"/>
        <w:ind w:left="4395" w:hanging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Normal"/>
        <w:widowControl w:val="false"/>
        <w:spacing w:lineRule="exact" w:line="240" w:before="0" w:after="0"/>
        <w:ind w:left="4395" w:hanging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Normal"/>
        <w:widowControl w:val="false"/>
        <w:spacing w:lineRule="exact" w:line="240" w:before="0" w:after="0"/>
        <w:ind w:left="4395" w:hanging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Normal"/>
        <w:widowControl w:val="false"/>
        <w:spacing w:lineRule="exact" w:line="240" w:before="0" w:after="0"/>
        <w:ind w:left="4395" w:hanging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Normal"/>
        <w:widowControl w:val="false"/>
        <w:spacing w:lineRule="exact" w:line="240" w:before="0" w:after="0"/>
        <w:ind w:left="4395" w:hanging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Normal"/>
        <w:widowControl w:val="false"/>
        <w:spacing w:lineRule="exact" w:line="240" w:before="0" w:after="0"/>
        <w:ind w:left="4395" w:hanging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Normal"/>
        <w:widowControl w:val="false"/>
        <w:spacing w:lineRule="exact" w:line="240" w:before="0" w:after="0"/>
        <w:ind w:left="4395" w:hanging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Normal"/>
        <w:widowControl w:val="false"/>
        <w:spacing w:lineRule="exact" w:line="240" w:before="0" w:after="0"/>
        <w:ind w:left="4395" w:hanging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Normal"/>
        <w:widowControl w:val="false"/>
        <w:spacing w:lineRule="exact" w:line="240" w:before="0" w:after="0"/>
        <w:ind w:left="4395" w:hanging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Normal"/>
        <w:widowControl w:val="false"/>
        <w:spacing w:lineRule="exact" w:line="240" w:before="0" w:after="0"/>
        <w:ind w:left="4395" w:hanging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Normal"/>
        <w:widowControl w:val="false"/>
        <w:spacing w:lineRule="exact" w:line="240" w:before="0" w:after="0"/>
        <w:ind w:left="4395" w:hanging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Normal"/>
        <w:widowControl w:val="false"/>
        <w:spacing w:lineRule="exact" w:line="240" w:before="0" w:after="0"/>
        <w:ind w:left="4395" w:hanging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Normal"/>
        <w:widowControl w:val="false"/>
        <w:spacing w:lineRule="exact" w:line="240" w:before="0" w:after="0"/>
        <w:ind w:left="4395" w:hanging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Normal"/>
        <w:widowControl w:val="false"/>
        <w:spacing w:lineRule="exact" w:line="240" w:before="0" w:after="0"/>
        <w:ind w:left="4395" w:hanging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Normal"/>
        <w:widowControl w:val="false"/>
        <w:spacing w:lineRule="exact" w:line="240" w:before="0" w:after="0"/>
        <w:ind w:left="4395" w:hanging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Normal"/>
        <w:widowControl w:val="false"/>
        <w:spacing w:lineRule="exact" w:line="240" w:before="0" w:after="0"/>
        <w:ind w:left="4395" w:hanging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Normal"/>
        <w:widowControl w:val="false"/>
        <w:spacing w:lineRule="exact" w:line="240" w:before="0" w:after="0"/>
        <w:ind w:left="4395" w:hanging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Normal"/>
        <w:widowControl w:val="false"/>
        <w:spacing w:lineRule="exact" w:line="240" w:before="0" w:after="0"/>
        <w:ind w:left="4395" w:hanging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Normal"/>
        <w:widowControl w:val="false"/>
        <w:spacing w:lineRule="exact" w:line="240" w:before="0" w:after="0"/>
        <w:ind w:left="4395" w:hanging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Normal"/>
        <w:widowControl w:val="false"/>
        <w:spacing w:lineRule="exact" w:line="240" w:before="0" w:after="0"/>
        <w:ind w:left="4395" w:hanging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Normal"/>
        <w:widowControl w:val="false"/>
        <w:spacing w:lineRule="exact" w:line="240" w:before="0" w:after="0"/>
        <w:ind w:left="4395" w:hanging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Normal"/>
        <w:widowControl w:val="false"/>
        <w:spacing w:lineRule="exact" w:line="240" w:before="0" w:after="0"/>
        <w:ind w:left="4395" w:hanging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Normal"/>
        <w:widowControl w:val="false"/>
        <w:spacing w:lineRule="exact" w:line="240" w:before="0" w:after="0"/>
        <w:ind w:left="4395" w:hanging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Normal"/>
        <w:widowControl w:val="false"/>
        <w:spacing w:lineRule="exact" w:line="240" w:before="0" w:after="0"/>
        <w:ind w:left="4395" w:hanging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Normal"/>
        <w:widowControl w:val="false"/>
        <w:spacing w:lineRule="exact" w:line="240" w:before="0" w:after="0"/>
        <w:ind w:left="4395" w:hanging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Normal"/>
        <w:widowControl w:val="false"/>
        <w:spacing w:lineRule="exact" w:line="240" w:before="0" w:after="0"/>
        <w:ind w:left="4395" w:hanging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Normal"/>
        <w:widowControl w:val="false"/>
        <w:spacing w:lineRule="exact" w:line="240" w:before="0" w:after="0"/>
        <w:ind w:left="4395" w:hanging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Normal"/>
        <w:widowControl w:val="false"/>
        <w:spacing w:lineRule="exact" w:line="240" w:before="0" w:after="0"/>
        <w:ind w:left="4395" w:hanging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Normal"/>
        <w:widowControl w:val="false"/>
        <w:spacing w:lineRule="exact" w:line="240" w:before="0" w:after="0"/>
        <w:ind w:left="4395" w:hanging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Normal"/>
        <w:widowControl w:val="false"/>
        <w:spacing w:lineRule="exact" w:line="240" w:before="0" w:after="0"/>
        <w:ind w:left="4395" w:hanging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Normal"/>
        <w:widowControl w:val="false"/>
        <w:spacing w:lineRule="exact" w:line="240" w:before="0" w:after="0"/>
        <w:ind w:left="4395" w:hanging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Normal"/>
        <w:widowControl w:val="false"/>
        <w:spacing w:lineRule="exact" w:line="240" w:before="0" w:after="0"/>
        <w:ind w:left="4395" w:hanging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Normal"/>
        <w:widowControl w:val="false"/>
        <w:spacing w:lineRule="exact" w:line="240" w:before="0" w:after="0"/>
        <w:ind w:left="4395" w:hanging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Normal"/>
        <w:widowControl w:val="false"/>
        <w:spacing w:lineRule="exact" w:line="240" w:before="0" w:after="0"/>
        <w:ind w:left="4395" w:hanging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Normal"/>
        <w:widowControl w:val="false"/>
        <w:spacing w:lineRule="exact" w:line="240" w:before="0" w:after="0"/>
        <w:ind w:left="4395" w:hanging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Normal"/>
        <w:widowControl w:val="false"/>
        <w:spacing w:lineRule="exact" w:line="240" w:before="0" w:after="0"/>
        <w:ind w:left="4395" w:hanging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Normal"/>
        <w:widowControl w:val="false"/>
        <w:spacing w:lineRule="exact" w:line="240" w:before="0" w:after="0"/>
        <w:ind w:left="4395" w:hanging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Normal"/>
        <w:widowControl w:val="false"/>
        <w:spacing w:lineRule="exact" w:line="240" w:before="0" w:after="0"/>
        <w:ind w:left="4395" w:hanging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Normal"/>
        <w:widowControl w:val="false"/>
        <w:spacing w:lineRule="exact" w:line="240" w:before="0" w:after="0"/>
        <w:ind w:left="4395" w:hanging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Normal"/>
        <w:widowControl w:val="false"/>
        <w:spacing w:lineRule="exact" w:line="240" w:before="0" w:after="0"/>
        <w:ind w:left="4395" w:hanging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Normal"/>
        <w:widowControl w:val="false"/>
        <w:spacing w:lineRule="exact" w:line="240" w:before="0" w:after="0"/>
        <w:ind w:left="4395" w:hanging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Normal"/>
        <w:widowControl w:val="false"/>
        <w:spacing w:lineRule="exact" w:line="240" w:before="0" w:after="0"/>
        <w:ind w:left="4395" w:hanging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Normal"/>
        <w:widowControl w:val="false"/>
        <w:spacing w:lineRule="exact" w:line="240" w:before="0" w:after="0"/>
        <w:ind w:left="4395" w:hanging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Normal"/>
        <w:widowControl w:val="false"/>
        <w:spacing w:lineRule="exact" w:line="240" w:before="0" w:after="0"/>
        <w:ind w:left="4395" w:hanging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Normal"/>
        <w:widowControl w:val="false"/>
        <w:spacing w:lineRule="exact" w:line="240" w:before="0" w:after="0"/>
        <w:ind w:left="4395" w:hanging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Normal"/>
        <w:widowControl w:val="false"/>
        <w:spacing w:lineRule="exact" w:line="240" w:before="0" w:after="0"/>
        <w:ind w:left="4395" w:hanging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ПРИЛОЖЕНИЕ № 5</w:t>
      </w:r>
    </w:p>
    <w:p>
      <w:pPr>
        <w:pStyle w:val="Normal"/>
        <w:widowControl w:val="false"/>
        <w:spacing w:lineRule="exact" w:line="240" w:before="0" w:after="0"/>
        <w:ind w:left="4395" w:hanging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 муниципальной программе «Обеспечение безопасности населения города Кирсанов и противодействие преступности на 2015-2030годы»</w:t>
      </w:r>
    </w:p>
    <w:p>
      <w:pPr>
        <w:pStyle w:val="Standard"/>
        <w:tabs>
          <w:tab w:val="clear" w:pos="708"/>
          <w:tab w:val="left" w:pos="8505" w:leader="none"/>
        </w:tabs>
        <w:jc w:val="right"/>
        <w:rPr/>
      </w:pPr>
      <w:r>
        <w:rPr>
          <w:color w:val="000000"/>
          <w:sz w:val="28"/>
          <w:szCs w:val="28"/>
        </w:rPr>
        <w:t xml:space="preserve">                                                               </w:t>
      </w:r>
    </w:p>
    <w:p>
      <w:pPr>
        <w:pStyle w:val="Standard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Standard"/>
        <w:jc w:val="center"/>
        <w:rPr/>
      </w:pPr>
      <w:r>
        <w:rPr>
          <w:b/>
          <w:bCs/>
          <w:color w:val="000000"/>
          <w:sz w:val="28"/>
          <w:szCs w:val="28"/>
        </w:rPr>
        <w:t>ПОДПРОГРАММА</w:t>
      </w:r>
    </w:p>
    <w:p>
      <w:pPr>
        <w:pStyle w:val="Heading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«Противодействие терроризму и экстремизму в городе Кирсанове</w:t>
      </w:r>
    </w:p>
    <w:p>
      <w:pPr>
        <w:pStyle w:val="Heading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на 2015-2030 годы»</w:t>
      </w:r>
    </w:p>
    <w:p>
      <w:pPr>
        <w:pStyle w:val="Standard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ConsPlusNormal"/>
        <w:ind w:hanging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Паспорт подпрограммы</w:t>
      </w:r>
    </w:p>
    <w:p>
      <w:pPr>
        <w:pStyle w:val="ConsPlusNormal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tbl>
      <w:tblPr>
        <w:tblW w:w="9593" w:type="dxa"/>
        <w:jc w:val="left"/>
        <w:tblInd w:w="11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2313"/>
        <w:gridCol w:w="7279"/>
      </w:tblGrid>
      <w:tr>
        <w:trPr/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Ответственный исполнитель</w:t>
            </w:r>
          </w:p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подпрограммы</w:t>
            </w:r>
          </w:p>
        </w:tc>
        <w:tc>
          <w:tcPr>
            <w:tcW w:w="7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Отдел гражданской обороны, чрезвычайных ситуаций и  общественной безопасности администрации города</w:t>
            </w:r>
          </w:p>
        </w:tc>
      </w:tr>
      <w:tr>
        <w:trPr/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Соисполнители подпрограммы</w:t>
            </w:r>
          </w:p>
        </w:tc>
        <w:tc>
          <w:tcPr>
            <w:tcW w:w="7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Отдел образования администрации города;</w:t>
            </w:r>
          </w:p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МОМВД России «Кирсановский» (по согласованию);</w:t>
            </w:r>
          </w:p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УФСБ России по Тамбовской области (по согласованию).</w:t>
            </w:r>
          </w:p>
        </w:tc>
      </w:tr>
      <w:tr>
        <w:trPr/>
        <w:tc>
          <w:tcPr>
            <w:tcW w:w="231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Цель  подпрограммы</w:t>
            </w:r>
          </w:p>
        </w:tc>
        <w:tc>
          <w:tcPr>
            <w:tcW w:w="7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Повышение защиты населения, объектов первоочередной антитеррористической защиты, расположенных на территории города и государственных институтов от террористической угрозы.</w:t>
            </w:r>
          </w:p>
        </w:tc>
      </w:tr>
      <w:tr>
        <w:trPr/>
        <w:tc>
          <w:tcPr>
            <w:tcW w:w="231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7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- проведение пропагандистской работы, направленной на вскрытие сущности и разъяснение общественной опасности терроризма и экстремизма, предупреждение террористической деятельности, повышение бдительности;</w:t>
            </w:r>
          </w:p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-повышение уровня межведомственного взаимодействия в профилактике терроризма;</w:t>
            </w:r>
          </w:p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-совершенствование систем технической защиты потенциально опасных объектов, мест массового пребывания людей и объектов жизнеобеспечения, находящихся в собственности или в ведении администрации города;</w:t>
            </w:r>
          </w:p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-обеспечение готовности сил и средств, предназначенных для оказания помощи при проведении контртеррористической операции и минимизации последствий террористических актов.</w:t>
            </w:r>
          </w:p>
        </w:tc>
      </w:tr>
      <w:tr>
        <w:trPr>
          <w:trHeight w:val="1416" w:hRule="atLeast"/>
        </w:trPr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Целевые индикаторы подпрограммы</w:t>
            </w:r>
          </w:p>
        </w:tc>
        <w:tc>
          <w:tcPr>
            <w:tcW w:w="7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количество муниципальных учреждений, оборудованных системой  видеонаблюдения-11.</w:t>
            </w:r>
          </w:p>
          <w:p>
            <w:pPr>
              <w:pStyle w:val="ConsPlusNormal"/>
              <w:widowControl w:val="fals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недопущение террористических акций на территории города.</w:t>
            </w:r>
          </w:p>
        </w:tc>
      </w:tr>
      <w:tr>
        <w:trPr/>
        <w:tc>
          <w:tcPr>
            <w:tcW w:w="231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Сроки реализации подпрограммы</w:t>
            </w:r>
          </w:p>
        </w:tc>
        <w:tc>
          <w:tcPr>
            <w:tcW w:w="7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Подпрограмма реализуется в течение 2015 - 2030 годов</w:t>
            </w:r>
          </w:p>
        </w:tc>
      </w:tr>
      <w:tr>
        <w:trPr/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7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snapToGrid w:val="false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Общий объем финансирования подпрограммы в 2015-2030 годах составит — 3326,4 тыс. рублей, в том числе:</w:t>
            </w:r>
          </w:p>
          <w:p>
            <w:pPr>
              <w:pStyle w:val="Standard"/>
              <w:widowControl w:val="false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 счет средств бюджета города — 270,0тыс. рублей;  в том числе по годам:</w:t>
            </w:r>
          </w:p>
          <w:p>
            <w:pPr>
              <w:pStyle w:val="Standard"/>
              <w:widowControl w:val="false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2015 год – 0        тыс. рублей;</w:t>
            </w:r>
          </w:p>
          <w:p>
            <w:pPr>
              <w:pStyle w:val="Standard"/>
              <w:widowControl w:val="false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2016 год – 0        тыс. рублей;</w:t>
            </w:r>
          </w:p>
          <w:p>
            <w:pPr>
              <w:pStyle w:val="Standard"/>
              <w:widowControl w:val="false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2017 год – 110,0 тыс. рублей;</w:t>
            </w:r>
          </w:p>
          <w:p>
            <w:pPr>
              <w:pStyle w:val="Standard"/>
              <w:widowControl w:val="false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2018 год – 120,0 тыс. рублей;</w:t>
            </w:r>
          </w:p>
          <w:p>
            <w:pPr>
              <w:pStyle w:val="Standard"/>
              <w:widowControl w:val="false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2019 год – 40,0   тыс. рублей;</w:t>
            </w:r>
          </w:p>
          <w:p>
            <w:pPr>
              <w:pStyle w:val="Standard"/>
              <w:widowControl w:val="false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 год – 0   тыс. рублей;</w:t>
            </w:r>
          </w:p>
          <w:p>
            <w:pPr>
              <w:pStyle w:val="Standard"/>
              <w:widowControl w:val="false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2021 год – 0  тыс. рублей;</w:t>
            </w:r>
          </w:p>
          <w:p>
            <w:pPr>
              <w:pStyle w:val="Standard"/>
              <w:widowControl w:val="false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2022 год – 0  тыс. рублей;</w:t>
            </w:r>
          </w:p>
          <w:p>
            <w:pPr>
              <w:pStyle w:val="Standard"/>
              <w:widowControl w:val="false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2023 год – 0 тыс. рублей;</w:t>
            </w:r>
          </w:p>
          <w:p>
            <w:pPr>
              <w:pStyle w:val="Standard"/>
              <w:widowControl w:val="false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2024 год – 0 тыс. рублей.</w:t>
            </w:r>
          </w:p>
          <w:p>
            <w:pPr>
              <w:pStyle w:val="Standard"/>
              <w:widowControl w:val="false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2025 год – 0 тыс. рублей.</w:t>
            </w:r>
          </w:p>
          <w:p>
            <w:pPr>
              <w:pStyle w:val="Standard"/>
              <w:widowControl w:val="false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2026 год – 0 тыс. рублей.</w:t>
            </w:r>
          </w:p>
          <w:p>
            <w:pPr>
              <w:pStyle w:val="Standard"/>
              <w:widowControl w:val="false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2027 год – 0 тыс. рублей.</w:t>
            </w:r>
          </w:p>
          <w:p>
            <w:pPr>
              <w:pStyle w:val="Standard"/>
              <w:widowControl w:val="false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2028 год – 0 тыс. рублей.</w:t>
            </w:r>
          </w:p>
          <w:p>
            <w:pPr>
              <w:pStyle w:val="Standard"/>
              <w:widowControl w:val="false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2029 год – 0 тыс. рублей.</w:t>
            </w:r>
          </w:p>
          <w:p>
            <w:pPr>
              <w:pStyle w:val="Standard"/>
              <w:widowControl w:val="false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2030 год – 0 тыс. рублей.</w:t>
            </w:r>
          </w:p>
          <w:p>
            <w:pPr>
              <w:pStyle w:val="Standard"/>
              <w:widowControl w:val="false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</w:p>
          <w:p>
            <w:pPr>
              <w:pStyle w:val="Standard"/>
              <w:widowControl w:val="false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 счет средств бюджета области — 3056,4 тыс. рублей;  в том числе по годам:</w:t>
            </w:r>
          </w:p>
          <w:p>
            <w:pPr>
              <w:pStyle w:val="Standard"/>
              <w:widowControl w:val="false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2015 год – 0 тыс. рублей;</w:t>
            </w:r>
          </w:p>
          <w:p>
            <w:pPr>
              <w:pStyle w:val="Standard"/>
              <w:widowControl w:val="false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2016 год – 0 тыс. рублей;</w:t>
            </w:r>
          </w:p>
          <w:p>
            <w:pPr>
              <w:pStyle w:val="Standard"/>
              <w:widowControl w:val="false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2017 год – 0 тыс. рублей;</w:t>
            </w:r>
          </w:p>
          <w:p>
            <w:pPr>
              <w:pStyle w:val="Standard"/>
              <w:widowControl w:val="false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2018 год – 0 тыс. рублей;</w:t>
            </w:r>
          </w:p>
          <w:p>
            <w:pPr>
              <w:pStyle w:val="Standard"/>
              <w:widowControl w:val="false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2019 год – 190,0 тыс. рублей;</w:t>
            </w:r>
          </w:p>
          <w:p>
            <w:pPr>
              <w:pStyle w:val="Standard"/>
              <w:widowControl w:val="false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 год – 211,1 тыс. рублей;</w:t>
            </w:r>
          </w:p>
          <w:p>
            <w:pPr>
              <w:pStyle w:val="Standard"/>
              <w:widowControl w:val="false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2021 год – 191,1 тыс. рублей;</w:t>
            </w:r>
          </w:p>
          <w:p>
            <w:pPr>
              <w:pStyle w:val="Standard"/>
              <w:widowControl w:val="false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2022 год – 266,2 тыс. рублей;</w:t>
            </w:r>
          </w:p>
          <w:p>
            <w:pPr>
              <w:pStyle w:val="Standard"/>
              <w:widowControl w:val="false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2023 год – 273,0 тыс. рублей;</w:t>
            </w:r>
          </w:p>
          <w:p>
            <w:pPr>
              <w:pStyle w:val="Standard"/>
              <w:widowControl w:val="false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2024 год – 275,0 тыс. рублей.</w:t>
            </w:r>
          </w:p>
          <w:p>
            <w:pPr>
              <w:pStyle w:val="Standard"/>
              <w:widowControl w:val="false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2025 год – 275,0 тыс. рублей.</w:t>
            </w:r>
          </w:p>
          <w:p>
            <w:pPr>
              <w:pStyle w:val="Standard"/>
              <w:widowControl w:val="false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2026 год – 275,0 тыс. рублей.</w:t>
            </w:r>
          </w:p>
          <w:p>
            <w:pPr>
              <w:pStyle w:val="Standard"/>
              <w:widowControl w:val="false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2027 год – 275,0 тыс. рублей.</w:t>
            </w:r>
          </w:p>
          <w:p>
            <w:pPr>
              <w:pStyle w:val="Standard"/>
              <w:widowControl w:val="false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2028 год – 275,0 тыс. рублей.</w:t>
            </w:r>
          </w:p>
          <w:p>
            <w:pPr>
              <w:pStyle w:val="Standard"/>
              <w:widowControl w:val="false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2029 год – 275,0 тыс. рублей.</w:t>
            </w:r>
          </w:p>
          <w:p>
            <w:pPr>
              <w:pStyle w:val="Standard"/>
              <w:widowControl w:val="false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2030 год – 275,0 тыс. рублей.</w:t>
            </w:r>
          </w:p>
          <w:p>
            <w:pPr>
              <w:pStyle w:val="Standard"/>
              <w:widowControl w:val="false"/>
              <w:snapToGrid w:val="false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</w:tbl>
    <w:p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ConsPlusNormal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ConsPlusNormal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ConsPlusNormal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1. Общая характеристика сферы реализации подпрограммы</w:t>
      </w:r>
    </w:p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Необходимость принятия подпрограммы и последующая реализация вызвана тем, что складывающаяся обстановка в сфере противодействия терроризму в Российской Федерации продолжает оставаться напряженной. В условиях осуществления государственной политики по стабилизации обстановки на Северном Кавказе лидеры незаконных вооруженных формирований - организаторы террористической деятельности в связи с лишением их возможности проведения террористических актов и иных противоправных деяний силами крупных вооруженных формирований переходят к практике нанесения точечных ударов по различным объектам в других регионах России, прежде всего с массовым пребыванием населения. Представители террористических организаций, сформированных и финансируемых как на территории России, так и за ее пределами, не оставляют попыток планирования и совершения террористических актов.</w:t>
      </w:r>
    </w:p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Прохождение через территорию города автомагистрали Тамбов-Саратов, железной дороги Махачкала - Астрахань - Волгоград - Саратов -Тамбов – Мичуринск, по которым следует автотранспорт и пассажиропоток с южного направления, реально обуславливают потенциальную опасность перемещения террористических группировок и их отдельных членов, транзита оружия, боеприпасов и взрывчатых веществ. </w:t>
      </w:r>
    </w:p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Кроме того, на территории города расположены потенциально опасные объекты, места с массовым пребыванием людей, которые могут быть избраны террористами в качестве объектов проведения террористических актов.</w:t>
      </w:r>
    </w:p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Криминальную напряженность усиливают незаконная миграция. </w:t>
      </w:r>
    </w:p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Правоохранительными органами в 2014 году проделана серьезная работа по борьбе с террористической угрозой, накоплен достаточный опыт работы в новых социально-экономических условиях. Однако угроза совершения террористических актов остается.</w:t>
      </w:r>
    </w:p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Все это требует принятия дополнительных превентивных мер, направленных на противодействие терроризму, прежде всего связанных с технической укрепленностью жизненно важных объектов и мест массового пребывания населения, обучением людей действиям в условиях чрезвычайного характера.</w:t>
      </w:r>
    </w:p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Реализация предложенных подпрограммой мер позволит значительно расширить потенциал института профилактики терроризма в целом, повысить эффективность деятельности органов, задействованных в сфере борьбы с терроризмом, привлечь дополнительные финансовые ресурсы, усовершенствовать современную упреждающую систему мер противодействия терроризму. </w:t>
      </w:r>
    </w:p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ab/>
      </w:r>
    </w:p>
    <w:p>
      <w:pPr>
        <w:pStyle w:val="ConsPlusNormal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2. Приоритеты муниципальной политики в сфере реализации подпрограммы, цели, задачи, сроки и этапы реализации подпрограммы</w:t>
      </w:r>
    </w:p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Приоритетами в сфере реализации подпрограммы являются:</w:t>
      </w:r>
    </w:p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совершенствование деятельности территориальных органов федеральных органов исполнительной власти, органов исполнительной власти области и органов местного самоуправления, направленной на своевременной выявление и устранение причин и условий, способствующих проявлениям терроризма;</w:t>
      </w:r>
    </w:p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практическая реализация на территории города мер по укреплению антитеррористической защищенности потенциальных объектов террористических посягательств;</w:t>
      </w:r>
    </w:p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обеспечение готовности сил и средств, предназначенных для оказания  помощи при проведении контртеррористической операции и минимизации последствий террористических актов;</w:t>
      </w:r>
    </w:p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повышение качества информационного сопровождения проводимых в городе антитеррористических мероприятий;</w:t>
      </w:r>
    </w:p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организация работы с населением по вопросам повышения бдительности в условиях повседневной жизнедеятельности и совершенствование обучения жителей города правилам поведения при угрозе совершения террористического акта;</w:t>
      </w:r>
    </w:p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повышение уровня профессиональной подготовки должностных лиц ответственных за антитеррористическую деятельность.</w:t>
      </w:r>
    </w:p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Реализация подпрограммы позволит обеспечить безопасность населения города, защиту его жизненно важных интересов.</w:t>
      </w:r>
    </w:p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Целью подпрограммы является:</w:t>
      </w:r>
    </w:p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повышение защиты населения, объектов первоочередной антитеррористической защиты, расположенных на территории города, и государственных институтов от террористической угрозы.</w:t>
      </w:r>
    </w:p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Основными задачами подпрограммы являются:</w:t>
      </w:r>
    </w:p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проведение пропагандистской работы, направленной на вскрытие сущности и разъяснение общественной опасности терроризма и экстремизма, предупреждение террористической деятельности, повышение бдительности;</w:t>
      </w:r>
    </w:p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повышение уровня межведомственного взаимодействия в профилактике терроризма;</w:t>
      </w:r>
    </w:p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совершенствование систем технической защиты потенциально опасных объектов, мест массового пребывания людей и объектов жизнеобеспечения, находящихся в собственности или в ведении администрации города Кирсанова;</w:t>
      </w:r>
    </w:p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обеспечение готовности сил и средств, предназначенных для оказания  помощи при проведении контртеррористической операции и минимизации последствий террористических актов.</w:t>
      </w:r>
    </w:p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Срок реализации подпрограммы - 2015 – 2030 годы.</w:t>
      </w:r>
    </w:p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3. Показатели (индикаторы) достижения целей и решения задач, основные ожидаемые результаты подпрограммы</w:t>
      </w:r>
    </w:p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Комплексная оценка выполнения мероприятий подпрограммы будет проводиться ежегодно по контролируемым значениям индикаторов, охватывающих все мероприятия, намеченные к выполнению - организационные, технические и практические.</w:t>
      </w:r>
    </w:p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Показателями (индикаторами) реализации подпрограммы являются:</w:t>
      </w:r>
    </w:p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количество муниципальных учреждений, оборудуемых системой  видеонаблюдения;</w:t>
      </w:r>
    </w:p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недопущение террористических акций на территории города.</w:t>
      </w:r>
    </w:p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Реализация мероприятий подпрограммы позволит достичь следующих результатов</w:t>
      </w:r>
    </w:p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оборудовать муниципальные учреждения города системами видеонаблюдения;</w:t>
      </w:r>
    </w:p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улучшить социальную защищенность общества и техническую укрепленность организаций и предприятий в случае возникновения террористической угрозы;</w:t>
      </w:r>
    </w:p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повысить уровень организованности и бдительности населения в области противодействия террористической угрозе;</w:t>
      </w:r>
    </w:p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обеспечить готовность сил и средств к отражению нападений террористов на объекты транспорта, связи, торговли, места массового пребывания граждан, другие охраняемые объекты и минимизацию их последствий;</w:t>
      </w:r>
    </w:p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усовершенствовать систему информационного противодействия терроризму и экстремизму, предусматривающую задействование органов государственной власти, возможностей правоохранительных органов и спецслужб, общественных организаций, специалистов в области религиозных отношений, образования, культуры, средств массовой информации в осуществлении деятельности на данном направлении.</w:t>
      </w:r>
    </w:p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Кроме того, закрепится тенденция общей стабилизации криминальной ситуации, снизится доля тяжких преступлений, уменьшится темп роста организованной преступности в целом.</w:t>
      </w:r>
    </w:p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Реализации мероприятий подпрограммы позволит достичь к 2024 году следующих результатов:</w:t>
      </w:r>
    </w:p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повышение количества муниципальных учреждений, оснащенных системой видеонаблюдения.</w:t>
      </w:r>
    </w:p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4. Обобщенная характеристика мероприятий подпрограммы</w:t>
      </w:r>
    </w:p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Основные мероприятия подпрограммы направлены на достижение ее цели и на решение наиболее важных задач, обеспечивающих безопасность населения и защиту его жизненно важных интересов.</w:t>
      </w:r>
    </w:p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Подпрограмма включает в себя следующие основные мероприятия:</w:t>
      </w:r>
    </w:p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проведение пропагандистской работы, направленной на вскрытие сущности и разъяснение общественной опасности терроризма и экстремизма, предупреждение террористической деятельности, повышение бдительности;</w:t>
      </w:r>
    </w:p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повышение уровня межведомственного взаимодействия в профилактике терроризма;</w:t>
      </w:r>
    </w:p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совершенствование систем технической защиты потенциально опасных объектов, мест массового пребывания людей и объектов жизнеобеспечения, находящихся в собственности или в ведении администрации города Кирсанова;</w:t>
      </w:r>
    </w:p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обеспечение готовности сил и средств, предназначенных для оказания  помощи при проведении контртеррористической операции и минимизации последствий террористических актов.</w:t>
      </w:r>
    </w:p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ind w:hanging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5. Обоснование ресурсного обеспечения подпрограммы</w:t>
      </w:r>
    </w:p>
    <w:p>
      <w:pPr>
        <w:pStyle w:val="ConsPlusNormal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cs="Times New Roman" w:ascii="Times New Roman" w:hAnsi="Times New Roman"/>
          <w:color w:val="FF0000"/>
          <w:sz w:val="28"/>
          <w:szCs w:val="28"/>
        </w:rPr>
      </w:r>
    </w:p>
    <w:p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Источником финансирования подпрограммы являются средства бюджета город.</w:t>
      </w:r>
    </w:p>
    <w:p>
      <w:pPr>
        <w:pStyle w:val="Standard"/>
        <w:snapToGrid w:val="false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Общий объем финансирования подпрограммы в 2015-2030 годах составит — 3326,4. рублей, в том числе:</w:t>
      </w:r>
    </w:p>
    <w:p>
      <w:pPr>
        <w:pStyle w:val="Standard"/>
        <w:snapToGrid w:val="false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за счет средств бюджета города — 270,0 тыс. рублей;  в том числе по годам:</w:t>
      </w:r>
    </w:p>
    <w:p>
      <w:pPr>
        <w:pStyle w:val="Standard"/>
        <w:jc w:val="both"/>
        <w:rPr>
          <w:color w:val="000000"/>
          <w:sz w:val="28"/>
          <w:szCs w:val="28"/>
        </w:rPr>
      </w:pPr>
      <w:r>
        <w:rPr>
          <w:color w:val="FF0000"/>
          <w:sz w:val="28"/>
          <w:szCs w:val="28"/>
        </w:rPr>
        <w:tab/>
      </w:r>
      <w:r>
        <w:rPr>
          <w:color w:val="000000"/>
          <w:sz w:val="28"/>
          <w:szCs w:val="28"/>
        </w:rPr>
        <w:t>- 2015 год – 0,0 тыс.руб;</w:t>
        <w:tab/>
        <w:tab/>
        <w:t>- 2025 год -</w:t>
        <w:tab/>
        <w:t>0 тыс. рублей;</w:t>
      </w:r>
    </w:p>
    <w:p>
      <w:pPr>
        <w:pStyle w:val="Standard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- 2016 год – 0,0 тыс.руб;</w:t>
        <w:tab/>
        <w:tab/>
        <w:t>- 2026 год – 0 тыс. рублей;</w:t>
        <w:tab/>
      </w:r>
    </w:p>
    <w:p>
      <w:pPr>
        <w:pStyle w:val="Standard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- 2017 год – 110,0 тыс.руб;</w:t>
        <w:tab/>
        <w:tab/>
        <w:t>- 2027 год – 0 тыс. рублей.</w:t>
      </w:r>
    </w:p>
    <w:p>
      <w:pPr>
        <w:pStyle w:val="Standard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- 2018 год – 120,0 тыс.руб;</w:t>
        <w:tab/>
        <w:tab/>
        <w:t>- 2028 год – 0 тыс. рублей.</w:t>
      </w:r>
    </w:p>
    <w:p>
      <w:pPr>
        <w:pStyle w:val="Standard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- 2019 год – 40,0 тыс.руб;</w:t>
        <w:tab/>
        <w:tab/>
        <w:t>- 2029 год – 0 тыс. рублей.</w:t>
      </w:r>
    </w:p>
    <w:p>
      <w:pPr>
        <w:pStyle w:val="Standard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- 2020 год – 0 тыс. рублей;</w:t>
        <w:tab/>
        <w:tab/>
        <w:t>- 2030 год – 0 тыс. рублей.</w:t>
      </w:r>
    </w:p>
    <w:p>
      <w:pPr>
        <w:pStyle w:val="Standard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- 2021 год – 0 тыс.руб;</w:t>
      </w:r>
    </w:p>
    <w:p>
      <w:pPr>
        <w:pStyle w:val="Standard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- 2022 год – 0 тыс. руб;</w:t>
      </w:r>
    </w:p>
    <w:p>
      <w:pPr>
        <w:pStyle w:val="Standard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- 2023 год – 0 тыс.руб;</w:t>
      </w:r>
    </w:p>
    <w:p>
      <w:pPr>
        <w:pStyle w:val="Standard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- 2024 год – 0 тыс. рублей.</w:t>
      </w:r>
    </w:p>
    <w:p>
      <w:pPr>
        <w:pStyle w:val="Standard"/>
        <w:jc w:val="both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</w:r>
    </w:p>
    <w:p>
      <w:pPr>
        <w:pStyle w:val="Standard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 счет средств бюджета области — 3056,4 тыс. рублей;  в том числе по годам:</w:t>
      </w:r>
    </w:p>
    <w:p>
      <w:pPr>
        <w:pStyle w:val="Standard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Standard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- 2015 год – 0,0 тыс.руб;</w:t>
        <w:tab/>
        <w:tab/>
        <w:t>- 2025 год -</w:t>
        <w:tab/>
        <w:t>275,0 тыс. рублей;</w:t>
      </w:r>
    </w:p>
    <w:p>
      <w:pPr>
        <w:pStyle w:val="Standard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- 2016 год – 0,0 тыс.руб;</w:t>
        <w:tab/>
        <w:tab/>
        <w:t>- 2026 год – 275,0 тыс. рублей;</w:t>
        <w:tab/>
      </w:r>
    </w:p>
    <w:p>
      <w:pPr>
        <w:pStyle w:val="Standard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- 2017 год – 0 тыс.руб;</w:t>
        <w:tab/>
        <w:tab/>
        <w:tab/>
        <w:t>- 2027 год – 275,0 тыс. рублей.</w:t>
      </w:r>
    </w:p>
    <w:p>
      <w:pPr>
        <w:pStyle w:val="Standard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- 2018 год – 0 тыс.руб;</w:t>
        <w:tab/>
        <w:tab/>
        <w:tab/>
        <w:t>- 2028 год – 275,0 тыс. рублей.</w:t>
      </w:r>
    </w:p>
    <w:p>
      <w:pPr>
        <w:pStyle w:val="Standard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- 2019 год – 190,0 тыс.руб;</w:t>
        <w:tab/>
        <w:tab/>
        <w:t>- 2029 год – 275,0 тыс. рублей.</w:t>
      </w:r>
    </w:p>
    <w:p>
      <w:pPr>
        <w:pStyle w:val="Standard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- 2020 год – 211,1 тыс. рублей;</w:t>
        <w:tab/>
        <w:t>- 2030 год – 275,0 тыс. рублей.</w:t>
      </w:r>
    </w:p>
    <w:p>
      <w:pPr>
        <w:pStyle w:val="Standard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- 2021 год – 191,1 тыс.руб;</w:t>
      </w:r>
    </w:p>
    <w:p>
      <w:pPr>
        <w:pStyle w:val="Standard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- 2022 год – 266,2 тыс. руб;</w:t>
      </w:r>
    </w:p>
    <w:p>
      <w:pPr>
        <w:pStyle w:val="Standard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- 2023 год – 273,0 тыс.руб;</w:t>
      </w:r>
    </w:p>
    <w:p>
      <w:pPr>
        <w:pStyle w:val="Standard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- 2024 год – 275,0 тыс. рублей.</w:t>
      </w:r>
    </w:p>
    <w:p>
      <w:pPr>
        <w:pStyle w:val="ConsPlusNormal"/>
        <w:ind w:hanging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ConsPlusNormal"/>
        <w:ind w:hanging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6. Механизм реализации подпрограммы</w:t>
      </w:r>
    </w:p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Распорядителями бюджетных средств является администрация города.</w:t>
      </w:r>
    </w:p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Приобретение материальных средств осуществляется на основании Федерального закона от 05 апреля 2013г. № 44-ФЗ «О контрактной системе в сфере закупок товаров, работ, услуг для обеспечения государственных и муниципальных нужд».</w:t>
      </w:r>
    </w:p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Общий контроль исполнения подпрограммы осуществляет антитеррористическая комиссия города, отдел ГО, ЧС, ОБ и МП администрации города, которые уточняет показатели по подпрограммным мероприятиям, механизм реализации подпрограммы и состав исполнителей. </w:t>
        <w:tab/>
        <w:t>Организация работ по контролю исполнения подпрограммы возлагается на отдел гражданской обороны, чрезвычайных ситуаций, общественной безопасности и мобилизационной подготовки администрации города.</w:t>
      </w:r>
    </w:p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Участники подпрограммы, ответственные за выполнение перечня мероприятий, ежегодно, до 10 июля и до 15 февраля (нарастающим итогом с начала года) года, следующего за отчетным периодом, представляют в отдел ГО, ЧС, общественной безопасности и мобилизационной подготовки администрации города информацию о ходе выполнения мероприятий подпрограммы.</w:t>
      </w:r>
    </w:p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Ход и результаты выполнения мероприятий подпрограммы рассматриваются на заседании антитеррористической комиссии города и освещаются в средствах массовой информации.</w:t>
      </w:r>
    </w:p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                                                                                          </w:t>
      </w:r>
    </w:p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widowControl w:val="false"/>
        <w:spacing w:lineRule="exact" w:line="240" w:before="0" w:after="0"/>
        <w:ind w:left="4395" w:hanging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Normal"/>
        <w:widowControl w:val="false"/>
        <w:spacing w:lineRule="exact" w:line="240" w:before="0" w:after="0"/>
        <w:ind w:left="4395" w:hanging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Normal"/>
        <w:widowControl w:val="false"/>
        <w:spacing w:lineRule="exact" w:line="240" w:before="0" w:after="0"/>
        <w:ind w:left="4395" w:hanging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Normal"/>
        <w:widowControl w:val="false"/>
        <w:spacing w:lineRule="exact" w:line="240" w:before="0" w:after="0"/>
        <w:ind w:left="4395" w:hanging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Normal"/>
        <w:widowControl w:val="false"/>
        <w:spacing w:lineRule="exact" w:line="240" w:before="0" w:after="0"/>
        <w:ind w:left="4395" w:hanging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Normal"/>
        <w:widowControl w:val="false"/>
        <w:spacing w:lineRule="exact" w:line="240" w:before="0" w:after="0"/>
        <w:ind w:left="4395" w:hanging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Normal"/>
        <w:widowControl w:val="false"/>
        <w:spacing w:lineRule="exact" w:line="240" w:before="0" w:after="0"/>
        <w:ind w:left="4395" w:hanging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Normal"/>
        <w:widowControl w:val="false"/>
        <w:spacing w:lineRule="exact" w:line="240" w:before="0" w:after="0"/>
        <w:ind w:left="4395" w:hanging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Normal"/>
        <w:widowControl w:val="false"/>
        <w:spacing w:lineRule="exact" w:line="240" w:before="0" w:after="0"/>
        <w:ind w:left="4395" w:hanging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Normal"/>
        <w:widowControl w:val="false"/>
        <w:spacing w:lineRule="exact" w:line="240" w:before="0" w:after="0"/>
        <w:ind w:left="4395" w:hanging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Normal"/>
        <w:widowControl w:val="false"/>
        <w:spacing w:lineRule="exact" w:line="240" w:before="0" w:after="0"/>
        <w:ind w:left="4395" w:hanging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Normal"/>
        <w:widowControl w:val="false"/>
        <w:spacing w:lineRule="exact" w:line="240" w:before="0" w:after="0"/>
        <w:ind w:left="4395" w:hanging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Normal"/>
        <w:widowControl w:val="false"/>
        <w:spacing w:lineRule="exact" w:line="240" w:before="0" w:after="0"/>
        <w:ind w:left="4395" w:hanging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Normal"/>
        <w:widowControl w:val="false"/>
        <w:spacing w:lineRule="exact" w:line="240" w:before="0" w:after="0"/>
        <w:ind w:left="4395" w:hanging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Normal"/>
        <w:widowControl w:val="false"/>
        <w:spacing w:lineRule="exact" w:line="240" w:before="0" w:after="0"/>
        <w:ind w:left="4395" w:hanging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Normal"/>
        <w:widowControl w:val="false"/>
        <w:spacing w:lineRule="exact" w:line="240" w:before="0" w:after="0"/>
        <w:ind w:left="4395" w:hanging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Normal"/>
        <w:widowControl w:val="false"/>
        <w:spacing w:lineRule="exact" w:line="240" w:before="0" w:after="0"/>
        <w:ind w:left="4395" w:hanging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Normal"/>
        <w:widowControl w:val="false"/>
        <w:spacing w:lineRule="exact" w:line="240" w:before="0" w:after="0"/>
        <w:ind w:left="4395" w:hanging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Normal"/>
        <w:widowControl w:val="false"/>
        <w:spacing w:lineRule="exact" w:line="240" w:before="0" w:after="0"/>
        <w:ind w:left="4395" w:hanging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Normal"/>
        <w:widowControl w:val="false"/>
        <w:spacing w:lineRule="exact" w:line="240" w:before="0" w:after="0"/>
        <w:ind w:left="4395" w:hanging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Normal"/>
        <w:widowControl w:val="false"/>
        <w:spacing w:lineRule="exact" w:line="240" w:before="0" w:after="0"/>
        <w:ind w:left="4395" w:hanging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Normal"/>
        <w:widowControl w:val="false"/>
        <w:spacing w:lineRule="exact" w:line="240" w:before="0" w:after="0"/>
        <w:ind w:left="4395" w:hanging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Normal"/>
        <w:widowControl w:val="false"/>
        <w:spacing w:lineRule="exact" w:line="240" w:before="0" w:after="0"/>
        <w:ind w:left="4395" w:hanging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Normal"/>
        <w:widowControl w:val="false"/>
        <w:spacing w:lineRule="exact" w:line="240" w:before="0" w:after="0"/>
        <w:ind w:left="4395" w:hanging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Normal"/>
        <w:widowControl w:val="false"/>
        <w:spacing w:lineRule="exact" w:line="240" w:before="0" w:after="0"/>
        <w:ind w:left="4395" w:hanging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Normal"/>
        <w:widowControl w:val="false"/>
        <w:spacing w:lineRule="exact" w:line="240" w:before="0" w:after="0"/>
        <w:ind w:left="4395" w:hanging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Normal"/>
        <w:widowControl w:val="false"/>
        <w:spacing w:lineRule="exact" w:line="240" w:before="0" w:after="0"/>
        <w:ind w:left="4395" w:hanging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Normal"/>
        <w:widowControl w:val="false"/>
        <w:spacing w:lineRule="exact" w:line="240" w:before="0" w:after="0"/>
        <w:ind w:left="4395" w:hanging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Normal"/>
        <w:widowControl w:val="false"/>
        <w:spacing w:lineRule="exact" w:line="240" w:before="0" w:after="0"/>
        <w:ind w:left="4395" w:hanging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Normal"/>
        <w:widowControl w:val="false"/>
        <w:spacing w:lineRule="exact" w:line="240" w:before="0" w:after="0"/>
        <w:ind w:left="4395" w:hanging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Normal"/>
        <w:widowControl w:val="false"/>
        <w:spacing w:lineRule="exact" w:line="240" w:before="0" w:after="0"/>
        <w:ind w:left="4395" w:hanging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Normal"/>
        <w:widowControl w:val="false"/>
        <w:spacing w:lineRule="exact" w:line="240" w:before="0" w:after="0"/>
        <w:ind w:left="4395" w:hanging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Normal"/>
        <w:widowControl w:val="false"/>
        <w:spacing w:lineRule="exact" w:line="240" w:before="0" w:after="0"/>
        <w:ind w:left="4395" w:hanging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Normal"/>
        <w:widowControl w:val="false"/>
        <w:spacing w:lineRule="exact" w:line="240" w:before="0" w:after="0"/>
        <w:ind w:left="4395" w:hanging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Normal"/>
        <w:widowControl w:val="false"/>
        <w:spacing w:lineRule="exact" w:line="240" w:before="0" w:after="0"/>
        <w:ind w:left="4395" w:hanging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Normal"/>
        <w:widowControl w:val="false"/>
        <w:spacing w:lineRule="exact" w:line="240" w:before="0" w:after="0"/>
        <w:ind w:left="4395" w:hanging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Normal"/>
        <w:widowControl w:val="false"/>
        <w:spacing w:lineRule="exact" w:line="240" w:before="0" w:after="0"/>
        <w:ind w:left="4395" w:hanging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ПРИЛОЖЕНИЕ № 6</w:t>
      </w:r>
    </w:p>
    <w:p>
      <w:pPr>
        <w:pStyle w:val="Normal"/>
        <w:widowControl w:val="false"/>
        <w:spacing w:lineRule="exact" w:line="240" w:before="0" w:after="0"/>
        <w:ind w:left="4395" w:hanging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 муниципальной программе «Обеспечение безопасности населения города Кирсанова  и противодействие преступности на 2015-2030 годы»</w:t>
      </w:r>
    </w:p>
    <w:p>
      <w:pPr>
        <w:pStyle w:val="ConsPlusNormal"/>
        <w:widowControl/>
        <w:ind w:hanging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ConsPlusNormal"/>
        <w:widowControl/>
        <w:ind w:hanging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ConsPlusNormal"/>
        <w:widowControl/>
        <w:ind w:hanging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ПОДПРОГРАММА</w:t>
      </w:r>
    </w:p>
    <w:p>
      <w:pPr>
        <w:pStyle w:val="ConsPlusNormal"/>
        <w:widowControl/>
        <w:ind w:hanging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«Повышение безопасности дорожного движения в городе Кирсанове</w:t>
      </w:r>
    </w:p>
    <w:p>
      <w:pPr>
        <w:pStyle w:val="ConsPlusNormal"/>
        <w:widowControl/>
        <w:ind w:hanging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на 2015 - 2030 годы»</w:t>
      </w:r>
    </w:p>
    <w:p>
      <w:pPr>
        <w:pStyle w:val="ConsPlusNormal"/>
        <w:widowControl/>
        <w:ind w:hanging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ConsPlusNormal"/>
        <w:widowControl/>
        <w:ind w:hanging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Паспорт подпрограммы</w:t>
      </w:r>
    </w:p>
    <w:p>
      <w:pPr>
        <w:pStyle w:val="ConsPlusNormal"/>
        <w:widowControl/>
        <w:ind w:hanging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tbl>
      <w:tblPr>
        <w:tblW w:w="9601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3119"/>
        <w:gridCol w:w="6481"/>
      </w:tblGrid>
      <w:tr>
        <w:trPr/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snapToGrid w:val="false"/>
              <w:ind w:hanging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Ответственный исполнитель подпрограммы</w:t>
            </w:r>
          </w:p>
        </w:tc>
        <w:tc>
          <w:tcPr>
            <w:tcW w:w="6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widowControl w:val="fals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Отдел гражданской обороны, чрезвычайных ситуаций и общественной безопасности администрации города</w:t>
            </w:r>
          </w:p>
        </w:tc>
      </w:tr>
      <w:tr>
        <w:trPr/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snapToGrid w:val="false"/>
              <w:ind w:hanging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Соисполнители подпрограммы</w:t>
            </w:r>
          </w:p>
        </w:tc>
        <w:tc>
          <w:tcPr>
            <w:tcW w:w="6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widowControl w:val="false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Отдел архитектуры, строительства и перспектив развития города администрации города;</w:t>
            </w:r>
          </w:p>
          <w:p>
            <w:pPr>
              <w:pStyle w:val="ConsPlusCell"/>
              <w:widowControl w:val="false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Отдел образования администрации города;</w:t>
            </w:r>
          </w:p>
          <w:p>
            <w:pPr>
              <w:pStyle w:val="ConsPlusCell"/>
              <w:widowControl w:val="false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Отдел ЖКХ и благоустройства администрации города;</w:t>
            </w:r>
          </w:p>
          <w:p>
            <w:pPr>
              <w:pStyle w:val="ConsPlusCell"/>
              <w:widowControl w:val="false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МБУ «Телерадиокомпания «Кирсанов»;</w:t>
            </w:r>
          </w:p>
          <w:p>
            <w:pPr>
              <w:pStyle w:val="ConsPlusCell"/>
              <w:widowControl w:val="false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Редакция газеты «Кирсановская газета» (по согласованию);</w:t>
            </w:r>
          </w:p>
          <w:p>
            <w:pPr>
              <w:pStyle w:val="ConsPlusCell"/>
              <w:widowControl w:val="false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МОМВД России «Кирсановский» (по согласованию)</w:t>
            </w:r>
          </w:p>
        </w:tc>
      </w:tr>
      <w:tr>
        <w:trPr/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snapToGrid w:val="false"/>
              <w:ind w:hanging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Цель подпрограммы</w:t>
            </w:r>
          </w:p>
        </w:tc>
        <w:tc>
          <w:tcPr>
            <w:tcW w:w="6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jc w:val="both"/>
              <w:rPr>
                <w:rStyle w:val="12"/>
                <w:sz w:val="28"/>
                <w:szCs w:val="28"/>
              </w:rPr>
            </w:pPr>
            <w:r>
              <w:rPr>
                <w:sz w:val="28"/>
                <w:szCs w:val="28"/>
              </w:rPr>
              <w:t>Сокращение прогнозируемого уровня случаев смертности в результате дорожно-транспортных происшествий к 2024 году в два с половиной раза по сравнению с 2014 годом.</w:t>
            </w:r>
          </w:p>
        </w:tc>
      </w:tr>
      <w:tr>
        <w:trPr/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snapToGrid w:val="false"/>
              <w:ind w:hanging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64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hd w:val="clear" w:color="auto" w:fill="FFFFFF"/>
              <w:tabs>
                <w:tab w:val="clear" w:pos="708"/>
                <w:tab w:val="left" w:pos="0" w:leader="none"/>
              </w:tabs>
              <w:spacing w:lineRule="atLeast" w:line="100" w:before="0" w:after="0"/>
              <w:jc w:val="both"/>
              <w:rPr>
                <w:rStyle w:val="12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cs="Times New Roman" w:ascii="Times New Roman" w:hAnsi="Times New Roman"/>
                <w:sz w:val="28"/>
                <w:szCs w:val="28"/>
              </w:rPr>
              <w:t xml:space="preserve">    </w:t>
            </w:r>
            <w:r>
              <w:rPr>
                <w:rStyle w:val="12"/>
                <w:rFonts w:cs="Times New Roman" w:ascii="Times New Roman" w:hAnsi="Times New Roman"/>
                <w:sz w:val="28"/>
                <w:szCs w:val="28"/>
              </w:rPr>
              <w:t>совершенствование системы управления деятельностью по повышению безопасности дорожного движения;</w:t>
            </w:r>
          </w:p>
          <w:p>
            <w:pPr>
              <w:pStyle w:val="Normal"/>
              <w:widowControl w:val="false"/>
              <w:shd w:val="clear" w:color="auto" w:fill="FFFFFF"/>
              <w:tabs>
                <w:tab w:val="clear" w:pos="708"/>
                <w:tab w:val="left" w:pos="0" w:leader="none"/>
              </w:tabs>
              <w:spacing w:lineRule="atLeast" w:line="100" w:before="0" w:after="0"/>
              <w:jc w:val="both"/>
              <w:rPr>
                <w:rStyle w:val="12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cs="Times New Roman" w:ascii="Times New Roman" w:hAnsi="Times New Roman"/>
                <w:sz w:val="28"/>
                <w:szCs w:val="28"/>
              </w:rPr>
              <w:t xml:space="preserve">    </w:t>
            </w:r>
            <w:r>
              <w:rPr>
                <w:rStyle w:val="12"/>
                <w:rFonts w:cs="Times New Roman" w:ascii="Times New Roman" w:hAnsi="Times New Roman"/>
                <w:sz w:val="28"/>
                <w:szCs w:val="28"/>
              </w:rPr>
              <w:t>повышение правосознания и ответственности участников дорожного движения;</w:t>
            </w:r>
          </w:p>
          <w:p>
            <w:pPr>
              <w:pStyle w:val="Normal"/>
              <w:widowControl w:val="false"/>
              <w:shd w:val="clear" w:color="auto" w:fill="FFFFFF"/>
              <w:tabs>
                <w:tab w:val="clear" w:pos="708"/>
                <w:tab w:val="left" w:pos="0" w:leader="none"/>
              </w:tabs>
              <w:spacing w:lineRule="atLeast" w:line="100" w:before="0" w:after="0"/>
              <w:jc w:val="both"/>
              <w:rPr>
                <w:rStyle w:val="12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cs="Times New Roman" w:ascii="Times New Roman" w:hAnsi="Times New Roman"/>
                <w:sz w:val="28"/>
                <w:szCs w:val="28"/>
              </w:rPr>
              <w:t xml:space="preserve">    </w:t>
            </w:r>
            <w:r>
              <w:rPr>
                <w:rStyle w:val="12"/>
                <w:rFonts w:cs="Times New Roman" w:ascii="Times New Roman" w:hAnsi="Times New Roman"/>
                <w:sz w:val="28"/>
                <w:szCs w:val="28"/>
              </w:rPr>
              <w:t>предотвращение дорожно-транспортных происшествий, вероятность гибели людей в которых наиболее высока, снижение тяжести травм в дорожно-транспортных происшествиях;</w:t>
            </w:r>
          </w:p>
          <w:p>
            <w:pPr>
              <w:pStyle w:val="ConsPlusNormal"/>
              <w:widowControl w:val="false"/>
              <w:shd w:val="clear" w:color="auto" w:fill="FFFFFF"/>
              <w:tabs>
                <w:tab w:val="clear" w:pos="708"/>
                <w:tab w:val="left" w:pos="0" w:leader="none"/>
              </w:tabs>
              <w:ind w:hanging="0"/>
              <w:jc w:val="both"/>
              <w:rPr>
                <w:rStyle w:val="12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2"/>
                <w:rFonts w:cs="Times New Roman" w:ascii="Times New Roman" w:hAnsi="Times New Roman"/>
                <w:sz w:val="28"/>
                <w:szCs w:val="28"/>
              </w:rPr>
              <w:t xml:space="preserve">    </w:t>
            </w:r>
            <w:r>
              <w:rPr>
                <w:rStyle w:val="12"/>
                <w:rFonts w:cs="Times New Roman" w:ascii="Times New Roman" w:hAnsi="Times New Roman"/>
                <w:sz w:val="28"/>
                <w:szCs w:val="28"/>
              </w:rPr>
              <w:t>развитие современной системы оказания помощи пострадавшим в дорожно-транспортных происшествиях.</w:t>
            </w:r>
          </w:p>
          <w:p>
            <w:pPr>
              <w:pStyle w:val="ConsPlusNormal"/>
              <w:widowControl w:val="false"/>
              <w:shd w:val="clear" w:color="auto" w:fill="FFFFFF"/>
              <w:tabs>
                <w:tab w:val="clear" w:pos="708"/>
                <w:tab w:val="left" w:pos="0" w:leader="none"/>
              </w:tabs>
              <w:ind w:hanging="0"/>
              <w:jc w:val="both"/>
              <w:rPr>
                <w:rStyle w:val="12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snapToGrid w:val="false"/>
              <w:ind w:hanging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Целевые показатели подпрограммы, их значения на последний год реализации</w:t>
            </w:r>
          </w:p>
        </w:tc>
        <w:tc>
          <w:tcPr>
            <w:tcW w:w="6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hd w:val="clear" w:color="auto" w:fill="FFFFFF"/>
              <w:tabs>
                <w:tab w:val="clear" w:pos="708"/>
                <w:tab w:val="left" w:pos="0" w:leader="none"/>
              </w:tabs>
              <w:snapToGrid w:val="false"/>
              <w:spacing w:lineRule="atLeast" w:line="100"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-транспортный и социальный риск (количество погибших в дорожно-транспортных происшествиях) – 0 чел.;</w:t>
            </w:r>
          </w:p>
          <w:p>
            <w:pPr>
              <w:pStyle w:val="Normal"/>
              <w:widowControl w:val="false"/>
              <w:shd w:val="clear" w:color="auto" w:fill="FFFFFF"/>
              <w:tabs>
                <w:tab w:val="clear" w:pos="708"/>
                <w:tab w:val="left" w:pos="0" w:leader="none"/>
              </w:tabs>
              <w:snapToGrid w:val="false"/>
              <w:spacing w:lineRule="atLeast" w:line="100"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-количество мест концентрации дорожно-транспортных происшествий на дорогах города – 0;</w:t>
            </w:r>
          </w:p>
          <w:p>
            <w:pPr>
              <w:pStyle w:val="Normal"/>
              <w:widowControl w:val="false"/>
              <w:shd w:val="clear" w:color="auto" w:fill="FFFFFF"/>
              <w:tabs>
                <w:tab w:val="clear" w:pos="708"/>
                <w:tab w:val="left" w:pos="0" w:leader="none"/>
              </w:tabs>
              <w:snapToGrid w:val="false"/>
              <w:spacing w:lineRule="atLeast" w:line="100" w:before="0" w:after="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-количество образовательных учреждений, принявших участие в конкурсах-6.</w:t>
            </w:r>
          </w:p>
        </w:tc>
      </w:tr>
      <w:tr>
        <w:trPr/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snapToGrid w:val="false"/>
              <w:ind w:hanging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Сроки реализации подпрограммы</w:t>
            </w:r>
          </w:p>
        </w:tc>
        <w:tc>
          <w:tcPr>
            <w:tcW w:w="6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Подпрограмма реализуется в течение 2015 – 2030 годов</w:t>
            </w:r>
          </w:p>
        </w:tc>
      </w:tr>
      <w:tr>
        <w:trPr/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snapToGrid w:val="false"/>
              <w:ind w:hanging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Объем и источники финансирования подпрограммы</w:t>
            </w:r>
          </w:p>
        </w:tc>
        <w:tc>
          <w:tcPr>
            <w:tcW w:w="6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snapToGrid w:val="false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Общий объем финансирования подпрограммы в 2015-2030 годах составит — 20002,6 тыс. рублей, в том числе:</w:t>
            </w:r>
          </w:p>
          <w:p>
            <w:pPr>
              <w:pStyle w:val="Standard"/>
              <w:widowControl w:val="false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 счет средств бюджета города — 20002,6 тыс. рублей;  в том числе по годам:</w:t>
            </w:r>
          </w:p>
          <w:p>
            <w:pPr>
              <w:pStyle w:val="Standard"/>
              <w:widowControl w:val="false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год – 881,0 тыс. рублей;</w:t>
            </w:r>
          </w:p>
          <w:p>
            <w:pPr>
              <w:pStyle w:val="Standard"/>
              <w:widowControl w:val="false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 год – 2170,0 тыс. рублей;</w:t>
            </w:r>
          </w:p>
          <w:p>
            <w:pPr>
              <w:pStyle w:val="Standard"/>
              <w:widowControl w:val="false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 – 881,0 тыс. рублей;</w:t>
            </w:r>
          </w:p>
          <w:p>
            <w:pPr>
              <w:pStyle w:val="Standard"/>
              <w:widowControl w:val="false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 – 637,6 тыс. рублей;</w:t>
            </w:r>
          </w:p>
          <w:p>
            <w:pPr>
              <w:pStyle w:val="Standard"/>
              <w:widowControl w:val="false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 – 1039,3 тыс. рублей;</w:t>
            </w:r>
          </w:p>
          <w:p>
            <w:pPr>
              <w:pStyle w:val="Standard"/>
              <w:widowControl w:val="false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 – 534,2 тыс. рублей;</w:t>
            </w:r>
          </w:p>
          <w:p>
            <w:pPr>
              <w:pStyle w:val="Standard"/>
              <w:widowControl w:val="false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 – 728,4 тыс. рублей;</w:t>
            </w:r>
          </w:p>
          <w:p>
            <w:pPr>
              <w:pStyle w:val="Standard"/>
              <w:widowControl w:val="false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 – 1131,0 тыс. рублей;</w:t>
            </w:r>
          </w:p>
          <w:p>
            <w:pPr>
              <w:pStyle w:val="Standard"/>
              <w:widowControl w:val="false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год – 1500,0 тыс. рублей;</w:t>
            </w:r>
          </w:p>
          <w:p>
            <w:pPr>
              <w:pStyle w:val="Standard"/>
              <w:widowControl w:val="false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 год – 1500,0 тыс. рублей.</w:t>
            </w:r>
          </w:p>
          <w:p>
            <w:pPr>
              <w:pStyle w:val="Standard"/>
              <w:widowControl w:val="false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 – 1500,0 тыс. рублей.</w:t>
            </w:r>
          </w:p>
          <w:p>
            <w:pPr>
              <w:pStyle w:val="Standard"/>
              <w:widowControl w:val="false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 год – 1500,0 тыс. рублей.</w:t>
            </w:r>
          </w:p>
          <w:p>
            <w:pPr>
              <w:pStyle w:val="Standard"/>
              <w:widowControl w:val="false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 год – 1500,0 тыс. рублей.</w:t>
            </w:r>
          </w:p>
          <w:p>
            <w:pPr>
              <w:pStyle w:val="Standard"/>
              <w:widowControl w:val="false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2028 год – 1500,0 тыс. рублей.</w:t>
            </w:r>
          </w:p>
          <w:p>
            <w:pPr>
              <w:pStyle w:val="Standard"/>
              <w:widowControl w:val="false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2029 год – 1500,0 тыс. рублей.</w:t>
            </w:r>
          </w:p>
          <w:p>
            <w:pPr>
              <w:pStyle w:val="Standard"/>
              <w:widowControl w:val="false"/>
              <w:jc w:val="both"/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2030 год – 1500,0 тыс. рублей.</w:t>
            </w:r>
          </w:p>
        </w:tc>
      </w:tr>
    </w:tbl>
    <w:p>
      <w:pPr>
        <w:pStyle w:val="ConsPlusNormal"/>
        <w:widowControl/>
        <w:ind w:hanging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16"/>
        <w:spacing w:lineRule="atLeast" w:line="10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1. Общая характеристика сферы реализации подпрограммы</w:t>
      </w:r>
    </w:p>
    <w:p>
      <w:pPr>
        <w:pStyle w:val="16"/>
        <w:spacing w:lineRule="atLeast" w:line="100" w:before="0"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16"/>
        <w:tabs>
          <w:tab w:val="clear" w:pos="708"/>
          <w:tab w:val="left" w:pos="720" w:leader="none"/>
        </w:tabs>
        <w:spacing w:lineRule="atLeast" w:line="100" w:before="0" w:after="0"/>
        <w:ind w:left="14" w:firstLine="695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cs="Times New Roman" w:ascii="Times New Roman" w:hAnsi="Times New Roman"/>
          <w:sz w:val="28"/>
          <w:szCs w:val="28"/>
          <w:lang w:eastAsia="en-US"/>
        </w:rPr>
        <w:t>Безопасность дорожного движения является одной из важных социально-экономических и демографических задач Российской Федерации. Аварийность на автомобильном транспорте наносит огромный материальный и моральный ущерб как обществу в целом, так и отдельным гражданам. Дорожно-транспортный травматизм приводит к исключению из сферы производства людей в основном трудоспособного возраста. Гибнут и становятся инвалидами дети.</w:t>
      </w:r>
    </w:p>
    <w:p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ab/>
        <w:t>На дорогах города в течении 9 месяцев 2014 года зарегистрировано 16 дорожно-транспортных происшествий .</w:t>
      </w:r>
    </w:p>
    <w:p>
      <w:pPr>
        <w:pStyle w:val="16"/>
        <w:tabs>
          <w:tab w:val="clear" w:pos="708"/>
          <w:tab w:val="left" w:pos="720" w:leader="none"/>
        </w:tabs>
        <w:spacing w:lineRule="atLeast" w:line="100" w:before="0" w:after="0"/>
        <w:ind w:left="14" w:firstLine="695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cs="Times New Roman" w:ascii="Times New Roman" w:hAnsi="Times New Roman"/>
          <w:sz w:val="28"/>
          <w:szCs w:val="28"/>
          <w:lang w:eastAsia="en-US"/>
        </w:rPr>
        <w:t>Обеспечение безопасности дорожного движения является составной частью национальных задач обеспечения личной безопасности, решения демографических, социальных и экономических проблем, повышения качества жизни, содействия региональному развитию.</w:t>
      </w:r>
    </w:p>
    <w:p>
      <w:pPr>
        <w:pStyle w:val="16"/>
        <w:tabs>
          <w:tab w:val="clear" w:pos="708"/>
          <w:tab w:val="left" w:pos="720" w:leader="none"/>
        </w:tabs>
        <w:spacing w:lineRule="atLeast" w:line="100" w:before="0" w:after="0"/>
        <w:ind w:left="14" w:firstLine="695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cs="Times New Roman" w:ascii="Times New Roman" w:hAnsi="Times New Roman"/>
          <w:sz w:val="28"/>
          <w:szCs w:val="28"/>
          <w:lang w:eastAsia="en-US"/>
        </w:rPr>
        <w:t>В целом ряде стратегических и программных документов вопросы обеспечения безопасности дорожного движения определены в качестве приоритетов социально-экономического развития Российской Федерации.</w:t>
      </w:r>
    </w:p>
    <w:p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ab/>
        <w:t>В Программе социально-экономического развития города Кирсанова вопросы обеспечения безопасности дорожного движения определены в качестве приоритетов социально-экономического развития города.</w:t>
      </w:r>
    </w:p>
    <w:p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ab/>
        <w:t>Целью данной Программы является снижение темпов естественной убыли населения, стабилизация и создание условий для роста его численности, а также повышение качества жизни и увеличение ее ожидаемой продолжительности.</w:t>
      </w:r>
    </w:p>
    <w:p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ab/>
        <w:t>Одним из направлений социально-экономического развития города  обозначено снижение смертности населения, прежде всего высокой смертности граждан в трудоспособном возрасте от внешних причин, в том числе в результате дорожно-транспортных происшествий.</w:t>
      </w:r>
    </w:p>
    <w:p>
      <w:pPr>
        <w:pStyle w:val="Standard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Инструментом достижения целей социально-экономического развития города должна стать, в том числе, новая муниципальная Программа по обеспечению безопасности дорожного движения на 2015-2030 годы.</w:t>
      </w:r>
    </w:p>
    <w:p>
      <w:pPr>
        <w:pStyle w:val="Standard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ab/>
        <w:t xml:space="preserve">В стратегических документах социально-экономического развития города Кирсанова </w:t>
      </w:r>
      <w:r>
        <w:rPr>
          <w:sz w:val="28"/>
          <w:szCs w:val="28"/>
          <w:lang w:eastAsia="en-US"/>
        </w:rPr>
        <w:t>одними из заявленных приоритетов являются: развитие человеческих ресурсов, обеспечение роста благосостояния и качества жизни населения, для решения которых должны решаться задачи, включая создание условий для повышения территориальной мобильности населения, совершенствование организации медицинской помощи пострадавшим при дорожно-транспортных происшествиях.</w:t>
      </w:r>
    </w:p>
    <w:p>
      <w:pPr>
        <w:pStyle w:val="16"/>
        <w:tabs>
          <w:tab w:val="clear" w:pos="708"/>
          <w:tab w:val="left" w:pos="720" w:leader="none"/>
        </w:tabs>
        <w:spacing w:lineRule="atLeast" w:line="100" w:before="0" w:after="0"/>
        <w:ind w:left="14" w:firstLine="695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cs="Times New Roman" w:ascii="Times New Roman" w:hAnsi="Times New Roman"/>
          <w:sz w:val="28"/>
          <w:szCs w:val="28"/>
          <w:lang w:eastAsia="en-US"/>
        </w:rPr>
        <w:t xml:space="preserve">Эти задачи подразумевающие выполнение мероприятий по повышению уровня безопасности транспортной системы, сокращение темпов роста количества дорожно-транспортных происшествий, снижение тяжести их последствий, числа пострадавших и погибших в них обозначены и в Транспортной стратегии Российской Федерации на период до 2030 года. </w:t>
      </w:r>
    </w:p>
    <w:p>
      <w:pPr>
        <w:pStyle w:val="16"/>
        <w:tabs>
          <w:tab w:val="clear" w:pos="708"/>
          <w:tab w:val="left" w:pos="720" w:leader="none"/>
        </w:tabs>
        <w:spacing w:lineRule="atLeast" w:line="100" w:before="0" w:after="0"/>
        <w:ind w:left="14" w:firstLine="695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cs="Times New Roman" w:ascii="Times New Roman" w:hAnsi="Times New Roman"/>
          <w:sz w:val="28"/>
          <w:szCs w:val="28"/>
          <w:lang w:eastAsia="en-US"/>
        </w:rPr>
        <w:t>Таким образом, задачи сохранения жизни и здоровья участников дорожного движения (за счет повышения дисциплины на дорогах, качества дорожной инфраструктуры, организации дорожного движения, повышения качества и оперативности медицинской помощи пострадавшим и прочего) и, как следствие, сокращения демографического и социально-экономического ущерба от дорожно-транспортных происшествий и их последствий согласуются с приоритетными задачами социально-экономического развития города и области в долгосрочной и среднесрочной перспективе.</w:t>
      </w:r>
    </w:p>
    <w:p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ab/>
        <w:t>Результаты реализации социально-экономического развития города по обеспечению безопасности дорожного движения в городе свидетельствуют, что использование программно-целевых методов управления в этой сфере позволило значительно улучшить ситуацию с дорожно-транспортной аварийностью в городе.</w:t>
        <w:tab/>
        <w:tab/>
      </w:r>
    </w:p>
    <w:p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ab/>
        <w:t>Вместе с тем, несмотря на эффективность реализации целевых программ, движение на дорогах остается небезопасным. Все это происходит на фоне возрастающей мобильности населения, роста числа зарегистрированного на территории города транспорта.</w:t>
      </w:r>
    </w:p>
    <w:p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ab/>
        <w:t>В связи с чем, требует дальнейшего развития обеспечение реализации комплексных мер по повышению безопасности дорожного движения по:</w:t>
      </w:r>
    </w:p>
    <w:p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ab/>
        <w:t>обеспечению баланса в понимании обществом опасности дорожного движения и возможностями и мерами государства по обеспечению безопасного движения на дорогах;</w:t>
      </w:r>
    </w:p>
    <w:p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ab/>
        <w:t>расширению использования возможности влияния законодательства и иных мер воздействия на агрессивное и противоправное поведение участников движения;</w:t>
      </w:r>
    </w:p>
    <w:p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ab/>
        <w:t>урегулированию вопросов реализации организационно-правовых и организационно-технических функций в сфере организации движения транспортных средств и пешеходов;</w:t>
      </w:r>
    </w:p>
    <w:p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ab/>
        <w:t>приведению элементов дорожно-транспортной инфраструктуры в соответствие нормативным требованиям в части безопасности дорожного движения по целому ряду показателей;</w:t>
      </w:r>
    </w:p>
    <w:p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ab/>
        <w:t>системной проработке механизмов вовлечения всех органов в софинансирование и реализацию мероприятий по обеспечению безопасности дорожного движения и их экономической заинтересованности в достижении конечного результата.</w:t>
      </w:r>
    </w:p>
    <w:p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ab/>
        <w:t>Эффективное продолжение решения существующих проблем возможно только в условиях пролонгации применения в качестве основы управления в области обеспечения безопасности дорожного движения программно-целевого метода посредством принятия и последующей реализации подпрограммы повышения безопасности дорожного движения на 2015-2030 годы, поскольку это позволит:</w:t>
      </w:r>
    </w:p>
    <w:p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ab/>
        <w:t>установить единые цель и задачи деятельности по повышению безопасности дорожного движения на период до 2030 года;</w:t>
      </w:r>
    </w:p>
    <w:p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ab/>
        <w:t>сформировать актуальную систему приоритетных мероприятий по повышению безопасности дорожного движения, обоснованно и системно воздействующих на причины аварийности;</w:t>
      </w:r>
    </w:p>
    <w:p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ab/>
        <w:t>повысить эффективность управления в области обеспечения безопасности дорожного движения на региональном и местном уровнях, межведомственного и межуровневого взаимодействия и координации органов власти;</w:t>
      </w:r>
    </w:p>
    <w:p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ab/>
        <w:t>концентрировать ресурсы на реализации мероприятий, соответствующих приоритетным целям и задачам в сфере обеспечения безопасности дорожного движения;</w:t>
      </w:r>
    </w:p>
    <w:p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ab/>
        <w:t>применять принципы бюджетного планирования, ориентированного на результат.</w:t>
      </w:r>
    </w:p>
    <w:p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ab/>
        <w:t>Таким образом, продолжение применения программно-целевого метода для решения проблем дорожно-транспортной аварийности в городе Кирсанове позволит не только сохранить накопленный потенциал и привести к достижению целевого ориентира сокращения числа погибших в дорожно-транспортных происшествиях в 2024 году, повышению эффективности системы обеспечения безопасности дорожного движения, обеспечивающей конституционную защиту прав и свобод человека и гражданина России, но и сформировать предпосылки выхода на еще более значительные стратегические цели снижения дорожно-транспортного травматизма в последующем.</w:t>
      </w:r>
    </w:p>
    <w:p>
      <w:pPr>
        <w:pStyle w:val="16"/>
        <w:tabs>
          <w:tab w:val="clear" w:pos="708"/>
          <w:tab w:val="left" w:pos="720" w:leader="none"/>
        </w:tabs>
        <w:spacing w:lineRule="atLeast" w:line="100" w:before="0" w:after="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cs="Times New Roman" w:ascii="Times New Roman" w:hAnsi="Times New Roman"/>
          <w:sz w:val="28"/>
          <w:szCs w:val="28"/>
          <w:lang w:eastAsia="en-US"/>
        </w:rPr>
      </w:r>
    </w:p>
    <w:p>
      <w:pPr>
        <w:pStyle w:val="16"/>
        <w:tabs>
          <w:tab w:val="clear" w:pos="708"/>
          <w:tab w:val="left" w:pos="720" w:leader="none"/>
        </w:tabs>
        <w:spacing w:lineRule="atLeast" w:line="100" w:before="0" w:after="0"/>
        <w:ind w:left="14" w:hanging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2. Приоритеты муниципальной политики в сфере реализации подпрограммы, цели, задачи, сроки и этапы реализации подпрограммы</w:t>
      </w:r>
    </w:p>
    <w:p>
      <w:pPr>
        <w:pStyle w:val="16"/>
        <w:spacing w:lineRule="atLeast" w:line="100" w:before="0"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Standard"/>
        <w:ind w:firstLine="708"/>
        <w:jc w:val="both"/>
        <w:rPr>
          <w:rStyle w:val="12"/>
          <w:sz w:val="28"/>
          <w:szCs w:val="28"/>
        </w:rPr>
      </w:pPr>
      <w:r>
        <w:rPr>
          <w:sz w:val="28"/>
          <w:szCs w:val="28"/>
        </w:rPr>
        <w:t>Целью подпрограммы является сокращение прогнозируемого уровня случаев смертности в результате дорожно-транспортных происшествий к 2024 году в два с половиной раза по сравнению с 2014 годом.</w:t>
      </w:r>
    </w:p>
    <w:p>
      <w:pPr>
        <w:pStyle w:val="16"/>
        <w:spacing w:lineRule="atLeast" w:line="100" w:before="0"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Достижение заявленной цели предполагает использование системного подхода к определению следующих взаимодополняющих друг друга приоритетных задач по обеспечению безопасности дорожного движения:</w:t>
      </w:r>
    </w:p>
    <w:p>
      <w:pPr>
        <w:pStyle w:val="16"/>
        <w:spacing w:lineRule="atLeast" w:line="100" w:before="0"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совершенствование системы управления деятельностью по повышению безопасности дорожного движения;</w:t>
      </w:r>
    </w:p>
    <w:p>
      <w:pPr>
        <w:pStyle w:val="16"/>
        <w:spacing w:lineRule="atLeast" w:line="100" w:before="0"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повышение правосознания и ответственности участников дорожного движения;</w:t>
      </w:r>
    </w:p>
    <w:p>
      <w:pPr>
        <w:pStyle w:val="16"/>
        <w:spacing w:lineRule="atLeast" w:line="100" w:before="0"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предотвращение дорожно-транспортных происшествий, вероятность гибели людей в которых наиболее высока, снижение тяжести травм в дорожно-транспортных происшествиях;</w:t>
      </w:r>
    </w:p>
    <w:p>
      <w:pPr>
        <w:pStyle w:val="16"/>
        <w:spacing w:lineRule="atLeast" w:line="100" w:before="0"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развитие современной системы оказания помощи пострадавшим в дорожно-транспортных происшествиях.</w:t>
      </w:r>
    </w:p>
    <w:p>
      <w:pPr>
        <w:pStyle w:val="Normal"/>
        <w:snapToGrid w:val="false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Срок реализации подпрограммы - 2015 - 2030 годы.</w:t>
      </w:r>
    </w:p>
    <w:p>
      <w:pPr>
        <w:pStyle w:val="16"/>
        <w:numPr>
          <w:ilvl w:val="1"/>
          <w:numId w:val="1"/>
        </w:numPr>
        <w:spacing w:lineRule="atLeast" w:line="10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Показатели (индикаторы) достижения целей и решения задач, основные ожидаемые результаты подпрограммы</w:t>
      </w:r>
    </w:p>
    <w:p>
      <w:pPr>
        <w:pStyle w:val="16"/>
        <w:spacing w:lineRule="atLeast" w:line="10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ab/>
      </w:r>
    </w:p>
    <w:p>
      <w:pPr>
        <w:pStyle w:val="16"/>
        <w:spacing w:lineRule="atLeast" w:line="10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Оценка достижения цели подпрограммы по годам ее реализации осуществляется посредством определения степени и полноты решения поставленных задач, а также с использованием целевых индикаторов и показателей.</w:t>
      </w:r>
    </w:p>
    <w:p>
      <w:pPr>
        <w:pStyle w:val="16"/>
        <w:spacing w:lineRule="atLeast" w:line="10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Важнейшими показателями подпрограммы являются:</w:t>
      </w:r>
    </w:p>
    <w:p>
      <w:pPr>
        <w:pStyle w:val="16"/>
        <w:spacing w:lineRule="atLeast" w:line="10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транспортный и социальный риск (количество погибших в дорожно-транспортных происшествиях;</w:t>
      </w:r>
    </w:p>
    <w:p>
      <w:pPr>
        <w:pStyle w:val="16"/>
        <w:spacing w:lineRule="atLeast" w:line="10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количество мест концентрации дорожно-транспортных происшествий на дорогах города;</w:t>
      </w:r>
    </w:p>
    <w:p>
      <w:pPr>
        <w:pStyle w:val="16"/>
        <w:spacing w:lineRule="atLeast" w:line="10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/>
        <w:t xml:space="preserve"> </w:t>
      </w:r>
      <w:r>
        <w:rPr>
          <w:rFonts w:cs="Times New Roman" w:ascii="Times New Roman" w:hAnsi="Times New Roman"/>
          <w:sz w:val="28"/>
          <w:szCs w:val="28"/>
        </w:rPr>
        <w:t>количество образовательных учреждений, принявших участие в конкурсах.</w:t>
      </w:r>
    </w:p>
    <w:p>
      <w:pPr>
        <w:pStyle w:val="Normal"/>
        <w:snapToGrid w:val="false"/>
        <w:spacing w:lineRule="atLeast" w:line="100" w:before="0" w:after="0"/>
        <w:ind w:firstLine="75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Реализация мероприятий подпрограммы позволит достичь к 2024 году следующих результатов по важнейшим показателям:</w:t>
      </w:r>
    </w:p>
    <w:p>
      <w:pPr>
        <w:pStyle w:val="Normal"/>
        <w:snapToGrid w:val="false"/>
        <w:spacing w:lineRule="atLeast" w:line="100" w:before="0" w:after="0"/>
        <w:ind w:firstLine="75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число лиц, погибших и пострадавших  в дорожно-транспортных происшествиях, сократится с 23 до 9 человек;</w:t>
      </w:r>
    </w:p>
    <w:p>
      <w:pPr>
        <w:pStyle w:val="16"/>
        <w:spacing w:lineRule="atLeast" w:line="10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16"/>
        <w:spacing w:lineRule="atLeast" w:line="10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16"/>
        <w:spacing w:lineRule="atLeast" w:line="10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4. Обобщенная характеристика мероприятий подпрограммы</w:t>
      </w:r>
    </w:p>
    <w:p>
      <w:pPr>
        <w:pStyle w:val="16"/>
        <w:spacing w:lineRule="atLeast" w:line="100" w:before="0"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ab/>
        <w:t>Комплекс мероприятий подпрограммы формируется и финансируется по статьям расходов на капитальные вложения и прочие нужды по следующим направлениям подпрограммы.</w:t>
      </w:r>
    </w:p>
    <w:p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ab/>
        <w:t>Мероприятия, направленные на сокращение детского дорожно-транспортного травматизма, приведены в пункте 2 Перечня мероприятий Программы.</w:t>
      </w:r>
    </w:p>
    <w:p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ab/>
        <w:t>Деятельность в указанном направлении предусматривает проведение городских и участие в областных мероприятиях по профилактике детского дорожно-транспортного травматизма (конкурсы, соревнования), проведение тематических круглых столов, конференций, семинаров для работников системы образования, родителей по вопросам профилактики детского дорожно-транспортного травматизма, обеспечение общеобразовательных учреждений учебно-методическими пособиями по вопросам профилактики детского дорожно-транспортного травматизма.</w:t>
      </w:r>
    </w:p>
    <w:p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ab/>
        <w:t>Мероприятия, направленные на совершенствование условий движения на городских автодорогах, приведены в пункте 3 Перечня мероприятий Программы.</w:t>
      </w:r>
    </w:p>
    <w:p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ab/>
        <w:t>Деятельность в указанном направлении предусматривает нанесение горизонтальной дорожной разметки, установку дорожных знаков, ограждающих устройств в опасных местах, светофорных объектов,  обустройство наружным освещением автодорог в городе.</w:t>
      </w:r>
    </w:p>
    <w:p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ab/>
        <w:t>Мероприятия, направленные на повышение уровня подготовки и формирование навыков по оказанию первой помощи пострадавшим при дорожно-транспортных происшествиях участниками дорожного движения, сотрудниками дорожно-патрульной службы и аварийно-спасательных формирований города, приведены в пункте 4 Перечня мероприятий Программы.</w:t>
      </w:r>
    </w:p>
    <w:p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ab/>
        <w:t>Деятельность в указанном направлении предусматривает совершенствование систем и методов подготовки сотрудниками аварийно-спасательных формирований города по вопросам качественного и эффективного оказания первой помощи пострадавшим при дорожно-транспортных происшествиях. А также мероприятия по сокращению времени прибытия на место происшествия бригад экстренной помощи.</w:t>
      </w:r>
    </w:p>
    <w:p>
      <w:pPr>
        <w:pStyle w:val="16"/>
        <w:spacing w:lineRule="atLeast" w:line="100" w:before="0"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Комплекс мероприятий подпрограммы сформирован, исходя из ее цели и задач. </w:t>
      </w:r>
    </w:p>
    <w:p>
      <w:pPr>
        <w:pStyle w:val="16"/>
        <w:spacing w:lineRule="atLeast" w:line="100" w:before="0"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Задача 1 «повышение правосознания и ответственности участников дорожного движения, развитие системы оказания помощи пострадавшим в дорожно-транспортных происшествиях» решается по направлению – «развитие системы предупреждения опасного поведения участников дорожного движения» - заключается в проведении работы по освещению темы обеспечения безопасности дорожного движения, подготовке и размещении информационных материалов по тематике безопасности дорожного движения (тематических полос в периодических печатных средствах массовой информации), выпуске телепрограмм (рубрик) по тематике безопасности дорожного движения, информировании граждан о правилах и требованиях в области обеспечения безопасности дорожного движения и путем повышение уровня координации служб, участвующих в оказании помощи в дорожно-транспортных происшествиях.</w:t>
      </w:r>
    </w:p>
    <w:p>
      <w:pPr>
        <w:pStyle w:val="16"/>
        <w:spacing w:lineRule="atLeast" w:line="100" w:before="0"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Задача 2 «предотвращение дорожно-транспортных происшествий, вероятность гибели людей в которых наиболее высока, снижение тяжести травм в дорожно-транспортных происшествиях» решается по 2 направлениям:</w:t>
      </w:r>
    </w:p>
    <w:p>
      <w:pPr>
        <w:pStyle w:val="16"/>
        <w:spacing w:lineRule="atLeast" w:line="100" w:before="0"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1 направление – «обеспечение безопасного участия детей в дорожном движении» - заключается в проведении смотров-конкурсов «Безопасность детей в наших руках» среди учреждений дошкольного и общего образования на лучшую организацию работы по предупреждению детского дорожно-транспортного травматизма, мероприятия в рамках профильной смены «Юные инспекторы движения», конкурсов детского творчества по безопасности дорожного движения среди воспитанников и обучающихся образовательных учреждений города «Дорога глазами детей», конкурсов юных инспекторов движения «Безопасное колесо», обеспечении участия городских команд в областных мероприятиях по вопросам профилактики детского дорожно-транспортного травматизма, обеспечении образовательных учреждений города учебно-методическими наглядными материалами по вопросам профилактики детского дорожно-транспортного травматизма; </w:t>
      </w:r>
    </w:p>
    <w:p>
      <w:pPr>
        <w:pStyle w:val="16"/>
        <w:spacing w:lineRule="atLeast" w:line="100" w:before="0"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 направление – «развитие системы организации движения транспортных средств и пешеходов, повышение безопасности дорожных условий» - заключается в установке и замене ограждающих устройств в опасных местах, установке новых автобусных павильонов, замене и установке дорожных знаков, установке и реконструкции светофорных объектов, устройстве тротуаров в населенных пунктах, нанесении горизонтальной дорожной разметки, вырубке кустарника в полосе отвода и придорожной полосе автодорог.</w:t>
      </w:r>
    </w:p>
    <w:p>
      <w:pPr>
        <w:pStyle w:val="16"/>
        <w:spacing w:lineRule="atLeast" w:line="100" w:before="0" w:after="0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16"/>
        <w:spacing w:lineRule="atLeast" w:line="100" w:before="0" w:after="0"/>
        <w:ind w:firstLine="72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5. Обоснование ресурсного обеспечения подпрограммы</w:t>
      </w:r>
    </w:p>
    <w:p>
      <w:pPr>
        <w:pStyle w:val="Normal"/>
        <w:spacing w:lineRule="auto" w:line="216" w:before="0" w:after="0"/>
        <w:ind w:firstLine="72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cs="Times New Roman" w:ascii="Times New Roman" w:hAnsi="Times New Roman"/>
          <w:sz w:val="28"/>
          <w:szCs w:val="28"/>
          <w:lang w:eastAsia="ar-SA"/>
        </w:rPr>
        <w:t>Подпрограмма реализуется за счет средств бюджета города.</w:t>
      </w:r>
    </w:p>
    <w:p>
      <w:pPr>
        <w:pStyle w:val="Standard"/>
        <w:snapToGrid w:val="false"/>
        <w:jc w:val="both"/>
        <w:rPr>
          <w:sz w:val="28"/>
          <w:szCs w:val="28"/>
        </w:rPr>
      </w:pPr>
      <w:r>
        <w:rPr>
          <w:sz w:val="28"/>
          <w:szCs w:val="28"/>
        </w:rPr>
        <w:tab/>
        <w:t>Общий объем финансирования подпрограммы в 2015-2030 годах составит — 20002,6 тыс. рублей, в том числе за счет средств бюджета города — 2002,6 тыс. рублей;  в том числе по годам:</w:t>
      </w:r>
    </w:p>
    <w:p>
      <w:pPr>
        <w:pStyle w:val="Standard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- 2015 год – 881,0 тыс.руб;</w:t>
        <w:tab/>
        <w:tab/>
        <w:t>- 2025 год – 1500,0 тыс. руб;</w:t>
      </w:r>
    </w:p>
    <w:p>
      <w:pPr>
        <w:pStyle w:val="Standard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- 2016 год – 2170,0 тыс.руб;</w:t>
        <w:tab/>
        <w:tab/>
        <w:t>- 2026 год – 1500,0 тыс. руб;</w:t>
      </w:r>
    </w:p>
    <w:p>
      <w:pPr>
        <w:pStyle w:val="Standard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- 2017 год – 881,0 тыс.руб;</w:t>
        <w:tab/>
        <w:tab/>
        <w:t>- 2027 год – 1500,0 тыс. руб;</w:t>
      </w:r>
    </w:p>
    <w:p>
      <w:pPr>
        <w:pStyle w:val="Standard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- 2018 год – 637,6 тыс.руб;</w:t>
        <w:tab/>
        <w:tab/>
        <w:t>- 2028 год – 1500,0 тыс. руб;</w:t>
      </w:r>
    </w:p>
    <w:p>
      <w:pPr>
        <w:pStyle w:val="Standard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- 2019 год – 1039,3 тыс.руб;</w:t>
        <w:tab/>
        <w:tab/>
        <w:t>- 2029 год – 1500,0 тыс. руб;</w:t>
      </w:r>
    </w:p>
    <w:p>
      <w:pPr>
        <w:pStyle w:val="Standard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- 2020 год – 534,2 тыс. руб;</w:t>
        <w:tab/>
        <w:tab/>
        <w:t>- 2030 год – 1500,0 тыс. руб.».</w:t>
      </w:r>
    </w:p>
    <w:p>
      <w:pPr>
        <w:pStyle w:val="Standard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- 2021 год – 728,4 тыс.руб;</w:t>
      </w:r>
    </w:p>
    <w:p>
      <w:pPr>
        <w:pStyle w:val="Standard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- 2022 год – 1131,0 тыс. руб;</w:t>
      </w:r>
    </w:p>
    <w:p>
      <w:pPr>
        <w:pStyle w:val="Standard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- 2023 год – 1500,0 тыс.руб;</w:t>
      </w:r>
    </w:p>
    <w:p>
      <w:pPr>
        <w:pStyle w:val="Standard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- 2024 год – 1500,0 тыс. руб;</w:t>
      </w:r>
    </w:p>
    <w:p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16"/>
        <w:spacing w:lineRule="atLeast" w:line="100" w:before="0" w:after="0"/>
        <w:ind w:firstLine="72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6. Механизм реализации подпрограммы</w:t>
      </w:r>
    </w:p>
    <w:p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ab/>
        <w:t>Распорядителями бюджетных средств является администрация города.</w:t>
      </w:r>
    </w:p>
    <w:p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ab/>
        <w:t>Приобретение материальных средств осуществляется на основании Федерального закона от 05 апреля 2013г. № 44-ФЗ «О контрактной системе в сфере закупок товаров, работ, услуг для обеспечения государственных и муниципальных нужд».</w:t>
      </w:r>
    </w:p>
    <w:p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Общий контроль исполнения подпрограммы осуществляют администрация города, комиссия по обеспечению безопасности дорожного движения в городе, которые уточняет показатели по подпрограммным мероприятиям, механизм реализации подпрограммы и состав исполнителей. Организация работ по контролю исполнения подпрограммы возлагается на </w:t>
      </w:r>
      <w:r>
        <w:rPr>
          <w:rFonts w:ascii="Times New Roman" w:hAnsi="Times New Roman"/>
          <w:sz w:val="28"/>
          <w:szCs w:val="28"/>
        </w:rPr>
        <w:t>отдел гражданской обороны, чрезвычайных ситуаций, общественной безопасности и мобилизационной подготовки администрации города</w:t>
      </w:r>
      <w:r>
        <w:rPr>
          <w:rFonts w:cs="Times New Roman" w:ascii="Times New Roman" w:hAnsi="Times New Roman"/>
          <w:sz w:val="28"/>
          <w:szCs w:val="28"/>
        </w:rPr>
        <w:t>.</w:t>
      </w:r>
    </w:p>
    <w:p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ab/>
        <w:t>Участники подпрограммы, ответственные за выполнение перечня мероприятий, ежегодно, до 10 июля и до 15 февраля (нарастающим итогом с начала года) года, следующего за отчетным периодом, представляют в отдел ГО ЧС, общественной безопасности и мобилизационной подготовки администрации города информацию о ходе выполнения мероприятий подпрограммы.</w:t>
      </w:r>
    </w:p>
    <w:p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Ход и результаты выполнения мероприятий подпрограммы рассматриваются на заседании комиссии по обеспечению безопасности дорожного движения в городе и освещаются в средствах массовой информации.</w:t>
      </w:r>
    </w:p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ind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ind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ind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ind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0" w:leader="none"/>
        </w:tabs>
        <w:spacing w:lineRule="exact" w:line="240" w:before="0" w:after="0"/>
        <w:ind w:left="4111" w:hanging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Normal"/>
        <w:widowControl w:val="false"/>
        <w:tabs>
          <w:tab w:val="clear" w:pos="708"/>
          <w:tab w:val="left" w:pos="0" w:leader="none"/>
        </w:tabs>
        <w:spacing w:lineRule="exact" w:line="240" w:before="0" w:after="0"/>
        <w:ind w:left="4111" w:hanging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Normal"/>
        <w:widowControl w:val="false"/>
        <w:tabs>
          <w:tab w:val="clear" w:pos="708"/>
          <w:tab w:val="left" w:pos="0" w:leader="none"/>
        </w:tabs>
        <w:spacing w:lineRule="exact" w:line="240" w:before="0" w:after="0"/>
        <w:ind w:left="4111" w:hanging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Normal"/>
        <w:widowControl w:val="false"/>
        <w:tabs>
          <w:tab w:val="clear" w:pos="708"/>
          <w:tab w:val="left" w:pos="0" w:leader="none"/>
        </w:tabs>
        <w:spacing w:lineRule="exact" w:line="240" w:before="0" w:after="0"/>
        <w:ind w:left="4111" w:hanging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ПРИЛОЖЕНИЕ № 7</w:t>
      </w:r>
    </w:p>
    <w:p>
      <w:pPr>
        <w:pStyle w:val="Normal"/>
        <w:widowControl w:val="false"/>
        <w:spacing w:lineRule="exact" w:line="240" w:before="0" w:after="0"/>
        <w:ind w:left="4111" w:hanging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 муниципальной программе «Обеспечение безопасности населения города Кирсанова  и противодействие преступности на 2015-2030 годы»</w:t>
      </w:r>
    </w:p>
    <w:p>
      <w:pPr>
        <w:pStyle w:val="Normal"/>
        <w:jc w:val="right"/>
        <w:rPr>
          <w:sz w:val="28"/>
        </w:rPr>
      </w:pPr>
      <w:r>
        <w:rPr>
          <w:sz w:val="28"/>
        </w:rPr>
      </w:r>
    </w:p>
    <w:p>
      <w:pPr>
        <w:pStyle w:val="ConsPlusNormal"/>
        <w:widowControl/>
        <w:ind w:hanging="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ПОДПРОГРАММА</w:t>
      </w:r>
    </w:p>
    <w:p>
      <w:pPr>
        <w:pStyle w:val="ConsPlusNormal"/>
        <w:widowControl/>
        <w:ind w:hanging="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«Подготовка граждан к военной службе в городе Кирсанове</w:t>
      </w:r>
    </w:p>
    <w:p>
      <w:pPr>
        <w:pStyle w:val="ConsPlusNormal"/>
        <w:widowControl/>
        <w:ind w:hanging="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 2015-2030 годы»</w:t>
      </w:r>
    </w:p>
    <w:p>
      <w:pPr>
        <w:pStyle w:val="ConsPlusNormal"/>
        <w:widowControl/>
        <w:ind w:hanging="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ConsPlusNormal"/>
        <w:widowControl/>
        <w:ind w:hanging="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Паспорт подпрограммы</w:t>
      </w:r>
    </w:p>
    <w:p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tbl>
      <w:tblPr>
        <w:tblW w:w="9640" w:type="dxa"/>
        <w:jc w:val="left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3027"/>
        <w:gridCol w:w="6612"/>
      </w:tblGrid>
      <w:tr>
        <w:trPr/>
        <w:tc>
          <w:tcPr>
            <w:tcW w:w="3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Ответственный исполнитель подпрограммы</w:t>
            </w:r>
          </w:p>
        </w:tc>
        <w:tc>
          <w:tcPr>
            <w:tcW w:w="6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Отдел гражданской обороны, чрезвычайных ситуаций и общественной безопасности  администрации города</w:t>
            </w:r>
          </w:p>
        </w:tc>
      </w:tr>
      <w:tr>
        <w:trPr/>
        <w:tc>
          <w:tcPr>
            <w:tcW w:w="3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Соисполнители подпрограммы</w:t>
            </w:r>
          </w:p>
        </w:tc>
        <w:tc>
          <w:tcPr>
            <w:tcW w:w="6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Отдел образования администрации города;</w:t>
            </w:r>
          </w:p>
          <w:p>
            <w:pPr>
              <w:pStyle w:val="ConsPlusNormal"/>
              <w:widowControl w:val="false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3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Цели подпрограммы</w:t>
            </w:r>
          </w:p>
        </w:tc>
        <w:tc>
          <w:tcPr>
            <w:tcW w:w="6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Основной целью подпрограммы является создание условий для обеспечения гарантированного комплектования Вооруженных Сил Российской Федерации физически, морально и психологически подготовленными призывниками, обладающими положительной мотивацией к прохождению военной службы, получившими подготовку по основам военной службы и военно-учетным специальностям.</w:t>
            </w:r>
          </w:p>
        </w:tc>
      </w:tr>
      <w:tr>
        <w:trPr/>
        <w:tc>
          <w:tcPr>
            <w:tcW w:w="3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6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Задачи:</w:t>
            </w:r>
          </w:p>
          <w:p>
            <w:pPr>
              <w:pStyle w:val="ConsPlusNormal"/>
              <w:widowControl w:val="false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улучшение состояния здоровья допризывной молодёжи;</w:t>
            </w:r>
          </w:p>
          <w:p>
            <w:pPr>
              <w:pStyle w:val="ConsPlusNormal"/>
              <w:widowControl w:val="false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повышение уровня физической подготовленности допризывной молодёжи;</w:t>
            </w:r>
          </w:p>
          <w:p>
            <w:pPr>
              <w:pStyle w:val="ConsPlusNormal"/>
              <w:widowControl w:val="false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совершенствование военно-патриотического воспитания граждан и повышение мотивации к военной службе;</w:t>
            </w:r>
          </w:p>
          <w:p>
            <w:pPr>
              <w:pStyle w:val="ConsPlusNormal"/>
              <w:widowControl w:val="false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совершенствование системы получения гражданами мужского пола начальных знаний  в области обороны и их обучения по основам военной службы;</w:t>
            </w:r>
          </w:p>
          <w:p>
            <w:pPr>
              <w:pStyle w:val="ConsPlusNormal"/>
              <w:widowControl w:val="false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формирование и совершенствование учебно-материальной базы для подготовки граждан к военной службе.</w:t>
            </w:r>
          </w:p>
        </w:tc>
      </w:tr>
      <w:tr>
        <w:trPr/>
        <w:tc>
          <w:tcPr>
            <w:tcW w:w="3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Целевые индикаторы и показатели подпрограммы, их значения на последний год реализации</w:t>
            </w:r>
          </w:p>
        </w:tc>
        <w:tc>
          <w:tcPr>
            <w:tcW w:w="6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Доля граждан, подлежащих призыву на военную службу, соответствующих по состоянию здоровья требованиям военной службы — 88,0%;</w:t>
            </w:r>
          </w:p>
          <w:p>
            <w:pPr>
              <w:pStyle w:val="ConsPlusNormal"/>
              <w:widowControl w:val="false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доля граждан допризывного возраста, имеющих спортивные разряды — 6,5%;</w:t>
            </w:r>
          </w:p>
          <w:p>
            <w:pPr>
              <w:pStyle w:val="ConsPlusNormal"/>
              <w:widowControl w:val="false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доля граждан допризывного возраста, обладающих положительной мотивацией к прохождению военной службы — 74%;</w:t>
            </w:r>
          </w:p>
          <w:p>
            <w:pPr>
              <w:pStyle w:val="ConsPlusNormal"/>
              <w:widowControl w:val="false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доля учащихся 10 классов общеобразовательных учреждений, учащихся учреждений НПО, СПО, прошедших программу учебных сборов в полном объеме — 98%;</w:t>
            </w:r>
          </w:p>
        </w:tc>
      </w:tr>
      <w:tr>
        <w:trPr/>
        <w:tc>
          <w:tcPr>
            <w:tcW w:w="3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Сроки  реализации подпрограммы</w:t>
            </w:r>
          </w:p>
        </w:tc>
        <w:tc>
          <w:tcPr>
            <w:tcW w:w="6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2015-2030 годы</w:t>
            </w:r>
          </w:p>
        </w:tc>
      </w:tr>
      <w:tr>
        <w:trPr/>
        <w:tc>
          <w:tcPr>
            <w:tcW w:w="3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Объем и источники финансирования подпрограммы</w:t>
            </w:r>
          </w:p>
        </w:tc>
        <w:tc>
          <w:tcPr>
            <w:tcW w:w="6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Подпрограмма финансируется за счёт средств бюджета города. Общий объем финансирования подпрограммы в 2015-2030 годах составит — 44,0 тыс. рублей, в том числе:</w:t>
            </w:r>
          </w:p>
          <w:p>
            <w:pPr>
              <w:pStyle w:val="ConsPlusNormal"/>
              <w:widowControl w:val="false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 счет средств бюджета города — 44,0 тыс. рублей;  в том числе по годам:</w:t>
            </w:r>
          </w:p>
          <w:p>
            <w:pPr>
              <w:pStyle w:val="ConsPlusNormal"/>
              <w:widowControl w:val="false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2015 год – 0,0 тыс. рублей;</w:t>
            </w:r>
          </w:p>
          <w:p>
            <w:pPr>
              <w:pStyle w:val="ConsPlusNormal"/>
              <w:widowControl w:val="false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2016 год – 0,0 тыс. рублей;</w:t>
            </w:r>
          </w:p>
          <w:p>
            <w:pPr>
              <w:pStyle w:val="ConsPlusNormal"/>
              <w:widowControl w:val="false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2017 год – 12,0 тыс. рублей;</w:t>
            </w:r>
          </w:p>
          <w:p>
            <w:pPr>
              <w:pStyle w:val="ConsPlusNormal"/>
              <w:widowControl w:val="false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2018 год – 12,0 тыс. рублей;</w:t>
            </w:r>
          </w:p>
          <w:p>
            <w:pPr>
              <w:pStyle w:val="ConsPlusNormal"/>
              <w:widowControl w:val="false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2019 год – 10,0 тыс. рублей;</w:t>
            </w:r>
          </w:p>
          <w:p>
            <w:pPr>
              <w:pStyle w:val="ConsPlusNormal"/>
              <w:widowControl w:val="false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2020 год – 10,0 тыс. рублей;</w:t>
            </w:r>
          </w:p>
          <w:p>
            <w:pPr>
              <w:pStyle w:val="ConsPlusNormal"/>
              <w:widowControl w:val="false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2021 год – 0 тыс. рублей;</w:t>
            </w:r>
          </w:p>
          <w:p>
            <w:pPr>
              <w:pStyle w:val="ConsPlusNormal"/>
              <w:widowControl w:val="false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2022 год – 0 тыс. рублей;</w:t>
            </w:r>
          </w:p>
          <w:p>
            <w:pPr>
              <w:pStyle w:val="ConsPlusNormal"/>
              <w:widowControl w:val="false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 год – 0 тыс. рублей;</w:t>
            </w:r>
          </w:p>
          <w:p>
            <w:pPr>
              <w:pStyle w:val="ConsPlusNormal"/>
              <w:widowControl w:val="false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 год – 0 тыс. рублей;</w:t>
            </w:r>
          </w:p>
          <w:p>
            <w:pPr>
              <w:pStyle w:val="ConsPlusNormal"/>
              <w:widowControl w:val="false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 год – 0 тыс. рублей;</w:t>
            </w:r>
          </w:p>
          <w:p>
            <w:pPr>
              <w:pStyle w:val="ConsPlusNormal"/>
              <w:widowControl w:val="false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2026 год – 0 тыс. рублей;</w:t>
            </w:r>
          </w:p>
          <w:p>
            <w:pPr>
              <w:pStyle w:val="ConsPlusNormal"/>
              <w:widowControl w:val="false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2027 год – 0 тыс. рублей;</w:t>
            </w:r>
          </w:p>
          <w:p>
            <w:pPr>
              <w:pStyle w:val="ConsPlusNormal"/>
              <w:widowControl w:val="false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2028 год – 0 тыс. рублей;</w:t>
            </w:r>
          </w:p>
          <w:p>
            <w:pPr>
              <w:pStyle w:val="ConsPlusNormal"/>
              <w:widowControl w:val="false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2029 год – 0 тыс. рублей;</w:t>
            </w:r>
          </w:p>
          <w:p>
            <w:pPr>
              <w:pStyle w:val="ConsPlusNormal"/>
              <w:widowControl w:val="false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2030 год – 0 тыс. рублей;</w:t>
            </w:r>
          </w:p>
          <w:p>
            <w:pPr>
              <w:pStyle w:val="ConsPlusNormal"/>
              <w:widowControl w:val="false"/>
              <w:ind w:hanging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</w:tbl>
    <w:p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ConsPlusNormal"/>
        <w:widowControl/>
        <w:ind w:hanging="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 Общая характеристика сферы реализации подпрограммы</w:t>
      </w:r>
    </w:p>
    <w:p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Существовавшая до 2010 года в Российской Федерации система допризывной подготовки молодежи во многом повторяла прежнюю, рассчитанную на двухгодичный срок службы по призыву и принципиально иные качественные и количественные параметры и структуру военной организации государства. Переход с 2008 года на одногодичный срок военной службы по призыву повлек значительное повышение требований к качеству  подготовки молодежи к военной службе.</w:t>
      </w:r>
    </w:p>
    <w:p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Подпрограмма «Подготовка граждан к военной службе в городе Кирсанове на 2015 - 2030 годы» будет служить дальнейшему формированию системы подготовки граждан к военной службе в городе Кирсанове. </w:t>
      </w:r>
    </w:p>
    <w:p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Подпрограмма включает комплекс практических, организационно-методических мероприятий по дальнейшему развитию и совершенствованию системы подготовки граждан к военной службе, направленной на достижение заявленной цели подпрограммы.</w:t>
      </w:r>
    </w:p>
    <w:p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Подпрограмма разработана в соответствии с Конституцией Российской Федерации, Перечнем поручений Президента Российской Федерации от 06.05.2009 Пр-1098ГС (далее - Перечень) по итогам заседания президиума Государственного Совета Российской Федерации от 22.04.2009 года, федеральным законом от 28.03.1998  №53-ФЗ «О воинской обязанности и военной службе» (в редакции от 21.03.2013), Концепцией Федеральной системы подготовки граждан Российской Федерации к военной службе на период до 2020 года (далее - Концепция), утвержденной распоряжением Правительства Российской Федерации от 03.02.2010 №134-р (в редакции от 20.09.2012), иными федеральными и областными нормативными правовыми актами, регулирующими деятельность в этой сфере. </w:t>
      </w:r>
    </w:p>
    <w:p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Подпрограмма определяет систему, ее цели, задачи, мероприятия на период с 2015 по 2024 годы с учетом социально-экономических, культурных и исторических особенностей и традиций города, имеющегося кадрового потенциала.</w:t>
      </w:r>
    </w:p>
    <w:p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Подпрограмма предполагает совместную деятельность государственных структур, общественно-государственных и общественных объединений граждан в решении проблем подготовки граждан к военной службе.</w:t>
      </w:r>
    </w:p>
    <w:p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Подготовка граждан к военной службе предусматривает обязательную и добровольную подготовку.</w:t>
      </w:r>
      <w:bookmarkStart w:id="5" w:name="sub_2000"/>
    </w:p>
    <w:p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Обязательная подготовка граждан к военной службе предусматривает:</w:t>
      </w:r>
      <w:bookmarkEnd w:id="5"/>
    </w:p>
    <w:p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получение начальных знаний в области обороны;</w:t>
      </w:r>
    </w:p>
    <w:p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подготовку по основам военной службы в образовательном учреждении </w:t>
        <w:tab/>
        <w:t>среднего (полного) общего образования;</w:t>
      </w:r>
    </w:p>
    <w:p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военно-патриотическое воспитание;</w:t>
      </w:r>
    </w:p>
    <w:p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медицинское освидетельствование.</w:t>
      </w:r>
    </w:p>
    <w:p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Основным фактором, определяющим способность гражданина проходить военную службу, является состояние его здоровья и физического развития. </w:t>
      </w:r>
    </w:p>
    <w:p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Показатель заболеваемости подростков от 15 до 17 лет в городе имеет тенденцию к снижению. В структуре общей заболеваемости подростков (15 – 17 лет) преобладающими нозологиями являются заболевания органов дыхания, костно-мышечной системы и пищеварения.  </w:t>
      </w:r>
    </w:p>
    <w:p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По данным статистики только 20% школьников являются абсолютно здоровыми,  20% имеют хронические заболевания. Значительное количество подростков имеют два и более хронических заболевания. </w:t>
      </w:r>
    </w:p>
    <w:p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Продолжают регистрироваться социально значимые заболевания у подростков. В 2013 году среди подростков отмечается снижение числа потребителей психоактивных веществ на 8% по сравнению с 2012 годом. </w:t>
      </w:r>
    </w:p>
    <w:p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На первом этапе подготовки граждан к военной службе с целью раннего выявления заболеваний, отклонений в психическом развитии, а также изучения заболеваемости и состояния физического развития проводятся профилактические осмотры и лечебно-оздоровительные мероприятия с юношами 15-16 летнего возраста.</w:t>
      </w:r>
    </w:p>
    <w:p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В 2013 г. при первоначальной постановке граждан на воинский учёт (далее – ППГВУ)  освидетельствовано 106 юношей (2011 — 133),  показатель годности к военной службе  которых составил 65,1% (2011 — 70,7%).  </w:t>
      </w:r>
    </w:p>
    <w:p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По результатам медицинского освидетельствования при призыве граждан на военную (далее - призыв) службу показатель годности к военной службе (процент признанных годными к военной службе и годными с незначительными ограничениями) начиная с 2007 года (71%) в городе постоянно снижался и только в последние 2 года стабилизировался и составлял:</w:t>
      </w:r>
    </w:p>
    <w:p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 2011 году – 61,7%</w:t>
      </w:r>
    </w:p>
    <w:p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ab/>
        <w:t xml:space="preserve">в 2012 году – 61,9%.  </w:t>
      </w:r>
    </w:p>
    <w:p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 2013 году - 69,9%, что на 1,1% ниже, чем в среднем по Западному военному округу (далее - ЗВО).</w:t>
      </w:r>
    </w:p>
    <w:p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 структуре заболеваний, по которым граждане были освобождены от призыва, на первом месте находятся болезни костно-мышечной системы -28,2% (2012 г. - 27,8%), на втором - болезни системы кровообращения - 9,4% (2012 г. - 10,9%), на третьем месте - болезни органов пищеварения - 9,2% (2012 г.- 10,5%).</w:t>
      </w:r>
    </w:p>
    <w:p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 2013 году 283 гражданам (3,2%) предоставлены отсрочки от призыва по состоянию здоровья (в 2012 г. - 364 и 3,5% соответственно), что тоже свидетельствует о результативности проводимых лечебно-профилактических мероприятий с допризывной молодежью. Этот показатель в области ниже, чем в среднем по ЗВО (3,5%).</w:t>
      </w:r>
    </w:p>
    <w:p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ab/>
        <w:t>В соответствии с Концепцией предполагается снизить количество граждан, не соответствующих по состоянию здоровья и уровню физического развития требованиям военной службы, до 25% и увеличить показатель годности к военной службе граждан, прибывших на  призывные комиссии, на 0%.</w:t>
      </w:r>
    </w:p>
    <w:p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Анализ уровня физического развития граждан, подлежащих призыву на военную службу, свидетельствует о наличии серьезных проблем в этой сфере.</w:t>
      </w:r>
    </w:p>
    <w:p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Охват детей и подростков, занимающихся спортом в кружках и секциях, составляет около 30% от общего количества школьников.  </w:t>
      </w:r>
    </w:p>
    <w:p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С целью развития основных физических качеств и способностей, укрепления здоровья, расширения функциональных возможностей организма, приобретения навыков в спортивно-оздоровительной деятельности во всех общеобразовательных учреждениях района введен  третий дополнительный  урок физической культуры.</w:t>
      </w:r>
    </w:p>
    <w:p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Учебно-материальная база по физической культуре и спорту в городе соответствует современным требованиям частично.</w:t>
      </w:r>
    </w:p>
    <w:p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Одним из ключевых элементов допризывной подготовки является обучение школьников начальным знаниям в области обороны и их подготовка по основам военной службы (далее — ОВС) в образовательных учреждениях города.  </w:t>
      </w:r>
    </w:p>
    <w:p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В федеральном базисном учебном плане для образовательных учреждений  на изучение основ безопасности жизнедеятельности (далее — ОБЖ) отводится только 102 часа (8, 10, 11 классы). По инициативе администрации области с 1998 года во всех общеобразовательных учреждениях Тамбовской области учебный предмет «Основы безопасности  жизнедеятельности» изучается с пятого по одиннадцатый класс в объеме 238 часов за весь период обучения (1 час в неделю). С 2009 года в региональный комплексный учебный план общеобразовательных учреждений в 10 классе введен учебный предмет «Основы военной службы». </w:t>
      </w:r>
    </w:p>
    <w:p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 образовательных учреждениях СПО учебный предмет «Основы безопасности жизнедеятельности» изучается в объеме 70 часов за весь курс обучения.</w:t>
      </w:r>
    </w:p>
    <w:p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С целью реализации практической части учебного предмета «Основы безопасности жизнедеятельности» во всех общеобразовательных учреждениях и учреждениях СПО ежегодно проходят пятидневные учебные сборы, которые являются одним из важнейших элементов адаптации допризывников к службе в Вооруженных Силах Российской Федерации. В соответствии с требованиями совместного приказа Министра обороны и Министра образования и науки Российской Федерации от 24.02.2010 №96/134 учебные сборы должны проводиться на базе соединений и воинских частей Вооружённых Сил Российской Федерации, других войск, воинских формирований и органов.</w:t>
      </w:r>
    </w:p>
    <w:p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Финансирование расходов на проведение учебных сборов осуществляется за счет средств областного и городского бюджетов, направляемых на финансирование расходов на реализацию государственного стандарта общего образования в части оплаты труда  преподавателям — организаторам и учителям  ОБЖ и за счет средств муниципальных бюджетов. Из-за нехватки муниципальных средств 100 % обучающихся  вынуждены проходить программу учебных сборов на базе образовательных учреждений, что снижает уровень  подготовки допризывников. </w:t>
      </w:r>
    </w:p>
    <w:p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В 2013 году только выполнение упражнений учебных стрельб (далее — УУС) из АК-74 были  организованы и проведены на базе учебных центров и полигонов воинских частей Тамбовского территориального гарнизона. </w:t>
      </w:r>
    </w:p>
    <w:p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Подготовку граждан, подлежащих призыву на военную службу, по военно-учетным специальностям солдат, матросов, сержантов и старшин (далее — ВУС) в 2013 году в районе осуществляет 1 образовательное учреждение СПО по специальностям водитель автомобиля категории «С». </w:t>
      </w:r>
    </w:p>
    <w:p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Острой проблемой для приведения уровня подготовки граждан по ВУС в соответствие с требованиями Министерства обороны Российской Федерации в настоящее время является состояние военной техники, переданной образовательным учреждениям СПО (требует обновления, практически, 100% автомобилей).  </w:t>
      </w:r>
    </w:p>
    <w:p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Важнейшими составляющими системы военно-патриотического воспитания в районе являются организация воспитательной работы в образовательных учреждениях и реализация дополнительных образовательных программ. На городском и областном уровне во всех образовательных учреждениях города проводятся мероприятия, направленные на формирование личности патриота и гражданина (акции, вахты памяти, военно-спортивные игры, смотры строя и песни, интеллектуальные и творческие конкурсы и прочее).</w:t>
      </w:r>
    </w:p>
    <w:p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Одним из наиболее показательных индикаторов эффективности деятельности по военно-патриотическому воспитанию является проявление мировоззренческих установок  старшеклассниками на готовность к защите Отечества. По данным социологического опроса 2012 года у 70 % школьников области сформировано чувство патриотизма и положительное отношение к службе в Вооруженных Силах.  </w:t>
      </w:r>
    </w:p>
    <w:p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Таким образом, несмотря на значительное повышение качества подготовки  граждан к военной службе, из-за недостаточного финансирования мероприятий Программы и недостаточного федерального методического сопровождения сложившаяся в городе система не до конца отвечает современным требованиям, необходимым для обеспечения безопасности и обороноспособности государства, и требует модернизации.</w:t>
      </w:r>
    </w:p>
    <w:p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Подпрограмма как организационная основа муниципальной политики в области подготовки граждан по основам военной службы представляет собой комплекс взаимоувязанных по ресурсам и срокам мероприятий, охватывающих изменения в структуре, содержании и технологиях подготовки обучающихся по основам военной службы, системе управления, организационно-правовых формах субъектов допризывной подготовки и финансово-экономических механизмах. </w:t>
      </w:r>
    </w:p>
    <w:p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Мероприятия Подпрограммы носят межотраслевой характер и направлены на все субъекты системы допризывной подготовки молодежи, включая учреждения и организации, находящиеся в ведении различных органов местного самоуправления. Это позволит проводить единую государственную политику в области подготовки граждан по основам военной службы.</w:t>
      </w:r>
    </w:p>
    <w:p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Государственная политика развития системы допризывной подготовки  молодежи ставит ряд задач, решение которых возможно только при государственной поддержке в рамках подпрограммы, являющейся  эффективным инструментом комплексного решения проблем подготовки граждан города Кирсанова к военной службе.</w:t>
      </w:r>
    </w:p>
    <w:p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ConsPlusNormal"/>
        <w:widowControl/>
        <w:ind w:hanging="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 Основные цель и задачи подпрограммы</w:t>
      </w:r>
    </w:p>
    <w:p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Цель Подпрограммы: создание условий для обеспечения гарантированного комплектования Вооруженных Сил Российской Федерации физически, морально и психологически подготовленными призывниками, обладающими положительной мотивацией к прохождению военной службы, получившими подготовку по основам военной службы и военно-учетным специальностям.</w:t>
      </w:r>
    </w:p>
    <w:p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Подпрограмма рассчитана на 2015 - 2030 годы и предполагает решение следующих задач: </w:t>
      </w:r>
    </w:p>
    <w:p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улучшение состояния здоровья допризывной молодёжи; </w:t>
      </w:r>
    </w:p>
    <w:p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повышение уровня физической подготовленности допризывной молодёжи;</w:t>
      </w:r>
    </w:p>
    <w:p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совершенствование военно-патриотического воспитания граждан и повышение мотивации к военной службе;</w:t>
      </w:r>
    </w:p>
    <w:p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совершенствование системы получения гражданами мужского пола начальных знаний  в области обороны и их обучения по основам военной службы;</w:t>
      </w:r>
    </w:p>
    <w:p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формирование и совершенствование учебно-материальной базы для подготовки граждан к военной службе. </w:t>
      </w:r>
    </w:p>
    <w:p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Подпрограмма будет являться организационной основой реализации муниципальной политики в подготовке граждан к службе в Вооруженных Силах Российской Федерации.</w:t>
      </w:r>
    </w:p>
    <w:p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ConsPlusNormal"/>
        <w:widowControl/>
        <w:ind w:hanging="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 Показатели (индикаторы) достижения целей и решения задач,</w:t>
      </w:r>
    </w:p>
    <w:p>
      <w:pPr>
        <w:pStyle w:val="ConsPlusNormal"/>
        <w:widowControl/>
        <w:ind w:hanging="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основные ожидаемые результаты подпрограммы</w:t>
      </w:r>
    </w:p>
    <w:p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Показателями (индикаторами) реализации подпрограммы является:</w:t>
      </w:r>
    </w:p>
    <w:p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доля граждан подлежащих призыву на военную службу, соответствующих по состоянию здоровья требованиям военной службы;</w:t>
      </w:r>
    </w:p>
    <w:p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доля граждан допризывного возраста, имеющих спортивные разряды;</w:t>
      </w:r>
    </w:p>
    <w:p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доля граждан допризывного возраста, обладающих положительной мотивацией к прохождению военной службы;</w:t>
      </w:r>
    </w:p>
    <w:p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доля учащихся 10 классов общеобразовательных учреждений, учащихся учреждений начального профессионального образования, среднего профессионального образования, прошедших программу учебных сбором в полном объеме.</w:t>
      </w:r>
    </w:p>
    <w:p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ConsPlusNormal"/>
        <w:widowControl/>
        <w:ind w:hanging="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4. Обобщенная характеристика мероприятий подпрограммы</w:t>
      </w:r>
    </w:p>
    <w:p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 результате реализации мероприятий подпрограммы:</w:t>
      </w:r>
    </w:p>
    <w:p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улучшится состояние здоровья допризывной молодёжи и, как результат, повысится показатель годности к военной службе;</w:t>
      </w:r>
    </w:p>
    <w:p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получат развитие массовые и военно-прикладные виды спорта, тем самым увеличится количество детей и подростков, систематически занимающихся физической культурой и спортом, что в свою очередь скажется на профилактике многих заболеваний и на снижении уровня уличной преступности;</w:t>
      </w:r>
    </w:p>
    <w:p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повысится качество военно-патриотического и духовно-нравственного воспитания молодёжи района и, в результате - положительная мотивация допризывной молодёжи к военной службе;</w:t>
      </w:r>
    </w:p>
    <w:p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повысится качество обучения граждан мужского пола начальным знаниям в области обороны и их подготовки по основам военной службы в образовательных учреждениях. </w:t>
      </w:r>
    </w:p>
    <w:p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>
        <w:rPr>
          <w:rFonts w:ascii="Times New Roman" w:hAnsi="Times New Roman"/>
          <w:sz w:val="28"/>
          <w:szCs w:val="28"/>
        </w:rPr>
        <w:t>Реализация мероприятий подпрограммы позволит достичь к 2024 году следующих результатов по важнейшим показателям:</w:t>
      </w:r>
    </w:p>
    <w:p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выполнение плана призыва граждан на военную службу, установленную Министерством обороны Российской Федерации.</w:t>
      </w:r>
    </w:p>
    <w:p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ConsPlusNormal"/>
        <w:widowControl/>
        <w:ind w:hanging="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 Обоснование ресурсного обеспечения подпрограммы</w:t>
      </w:r>
    </w:p>
    <w:p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Финансирование настоящей подпрограммы производится за счет средств, предусмотренных на эти цели в бюджете города. </w:t>
      </w:r>
    </w:p>
    <w:p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Объемы расходов на выполнение подпрограммы ежегодно уточняются при формировании городского бюджета на очередной финансовый год.</w:t>
      </w:r>
    </w:p>
    <w:p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Общий объем финансирования подпрограммы в 2015-2030 годах составит — 44,0 тыс. рублей, в том числе за счет средств бюджета города — 44,0 тыс. рублей;  в том числе по годам:</w:t>
      </w:r>
    </w:p>
    <w:p>
      <w:pPr>
        <w:pStyle w:val="Standard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- 2015 год – 0 тыс.руб;</w:t>
        <w:tab/>
        <w:tab/>
        <w:t>- 2025 год – 0 тыс. руб;</w:t>
      </w:r>
    </w:p>
    <w:p>
      <w:pPr>
        <w:pStyle w:val="Standard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- 2016 год – 0 тыс.руб;</w:t>
        <w:tab/>
        <w:tab/>
        <w:t>- 2026 год – 0 тыс. руб;</w:t>
      </w:r>
    </w:p>
    <w:p>
      <w:pPr>
        <w:pStyle w:val="Standard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- 2017 год – 12,0 тыс.руб;</w:t>
        <w:tab/>
        <w:t>- 2027 год – 0 тыс. руб;</w:t>
      </w:r>
    </w:p>
    <w:p>
      <w:pPr>
        <w:pStyle w:val="Standard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- 2018 год – 12,0 тыс.руб;</w:t>
        <w:tab/>
        <w:t>- 2028 год – 0 тыс. руб;</w:t>
      </w:r>
    </w:p>
    <w:p>
      <w:pPr>
        <w:pStyle w:val="Standard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- 2019 год – 10,0 тыс.руб;</w:t>
        <w:tab/>
        <w:t>- 2029 год – 0 тыс. руб;</w:t>
      </w:r>
    </w:p>
    <w:p>
      <w:pPr>
        <w:pStyle w:val="Standard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- 2020 год – 10,0 тыс. руб;</w:t>
        <w:tab/>
        <w:t>- 2030 год – 0 тыс. руб.».</w:t>
      </w:r>
    </w:p>
    <w:p>
      <w:pPr>
        <w:pStyle w:val="Standard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- 2021 год – 0 тыс.руб;</w:t>
      </w:r>
    </w:p>
    <w:p>
      <w:pPr>
        <w:pStyle w:val="Standard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- 2022 год – 0 тыс. руб;</w:t>
      </w:r>
    </w:p>
    <w:p>
      <w:pPr>
        <w:pStyle w:val="Standard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- 2023 год – 0 тыс.руб;</w:t>
      </w:r>
    </w:p>
    <w:p>
      <w:pPr>
        <w:pStyle w:val="Standard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- 2024 год – 0 тыс. руб;</w:t>
      </w:r>
    </w:p>
    <w:p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ConsPlusNormal"/>
        <w:widowControl/>
        <w:ind w:hanging="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6. Механизм реализации подпрограммы</w:t>
      </w:r>
    </w:p>
    <w:p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Распорядителями бюджетных средств является администрация города.</w:t>
      </w:r>
    </w:p>
    <w:p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Финансирование мероприятий программы предусматривается за счет средств бюджета города.</w:t>
      </w:r>
    </w:p>
    <w:p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Приобретение материальных средств осуществляется на основании Федерального закона от 05 апреля 2013г. № 44-ФЗ «О контрактной системе в сфере закупок товаров, работ, услуг для обеспечения государственных и муниципальных нужд».</w:t>
      </w:r>
    </w:p>
    <w:p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Общий контроль исполнения подпрограммы осуществляет администрация города, комиссия по призыву,  которая уточняет показатели по подпрограммным мероприятиям, механизм реализации подпрограммы и состав исполнителей. Организация работ по контролю исполнения подпрограммы возлагается на отдел гражданской обороны, чрезвычайных ситуаций, общественной безопасности и мобилизационной подготовки администрации города.</w:t>
      </w:r>
    </w:p>
    <w:p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Участники подпрограммы, ответственные за выполнение перечня мероприятий, ежегодно, до 10 июля и до 15 февраля (нарастающим итогом с начала года) года, следующего за отчетным периодом, представляют в отдел ГО, ЧС, общественной безопасности и мобилизационной подготовки администрации города информацию о ходе выполнения мероприятий подпрограммы.</w:t>
      </w:r>
    </w:p>
    <w:p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Ход и результаты выполнения мероприятий подпрограммы рассматриваются на заседании межведомственной комиссии по профилактике правонарушений города и освещаются в средствах массовой информации.</w:t>
      </w:r>
    </w:p>
    <w:p>
      <w:pPr>
        <w:pStyle w:val="ConsPlusNormal"/>
        <w:ind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/>
      </w:r>
    </w:p>
    <w:sectPr>
      <w:headerReference w:type="default" r:id="rId4"/>
      <w:type w:val="nextPage"/>
      <w:pgSz w:w="11906" w:h="16838"/>
      <w:pgMar w:left="1440" w:right="851" w:gutter="0" w:header="709" w:top="766" w:footer="0" w:bottom="851"/>
      <w:pgNumType w:fmt="decimal"/>
      <w:formProt w:val="false"/>
      <w:titlePg/>
      <w:textDirection w:val="lrTb"/>
      <w:docGrid w:type="default" w:linePitch="360" w:charSpace="429495500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5"/>
      <w:spacing w:before="0" w:after="200"/>
      <w:rPr/>
    </w:pPr>
    <w:r>
      <w:rPr/>
    </w:r>
    <w:r>
      <mc:AlternateContent>
        <mc:Choice Requires="wps">
          <w:drawing>
            <wp:anchor behindDoc="0" distT="0" distB="0" distL="0" distR="0" simplePos="0" locked="0" layoutInCell="0" allowOverlap="1" relativeHeight="1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27635" cy="146685"/>
              <wp:effectExtent l="0" t="0" r="0" b="0"/>
              <wp:wrapSquare wrapText="largest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7635" cy="146685"/>
                      </a:xfrm>
                      <a:prstGeom prst="rect"/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Style25"/>
                            <w:pBdr/>
                            <w:spacing w:before="0" w:after="200"/>
                            <w:rPr>
                              <w:rStyle w:val="Pagenumber"/>
                              <w:rFonts w:ascii="Times New Roman" w:hAnsi="Times New Roman"/>
                            </w:rPr>
                          </w:pPr>
                          <w:r>
                            <w:rPr>
                              <w:rStyle w:val="Pagenumber"/>
                              <w:rFonts w:ascii="Times New Roman" w:hAnsi="Times New Roman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rFonts w:ascii="Times New Roman" w:hAnsi="Times New Roman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rFonts w:ascii="Times New Roman" w:hAnsi="Times New Roman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rFonts w:ascii="Times New Roman" w:hAnsi="Times New Roman"/>
                            </w:rPr>
                            <w:t>12</w:t>
                          </w:r>
                          <w:r>
                            <w:rPr>
                              <w:rStyle w:val="Pagenumber"/>
                              <w:rFonts w:ascii="Times New Roman" w:hAnsi="Times New Roman"/>
                            </w:rPr>
                            <w:fldChar w:fldCharType="end"/>
                          </w:r>
                        </w:p>
                      </w:txbxContent>
                    </wps:txbx>
                    <wps:bodyPr anchor="t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yle="position:absolute;rotation:-0;width:10.05pt;height:11.55pt;mso-wrap-distance-left:0pt;mso-wrap-distance-right:0pt;mso-wrap-distance-top:0pt;mso-wrap-distance-bottom:0pt;margin-top:0.05pt;mso-position-vertical-relative:text;margin-left:235.4pt;mso-position-horizontal:center;mso-position-horizontal-relative:margin">
              <v:fill opacity="0f"/>
              <v:textbox inset="0in,0in,0in,0in">
                <w:txbxContent>
                  <w:p>
                    <w:pPr>
                      <w:pStyle w:val="Style25"/>
                      <w:pBdr/>
                      <w:spacing w:before="0" w:after="200"/>
                      <w:rPr>
                        <w:rStyle w:val="Pagenumber"/>
                        <w:rFonts w:ascii="Times New Roman" w:hAnsi="Times New Roman"/>
                      </w:rPr>
                    </w:pPr>
                    <w:r>
                      <w:rPr>
                        <w:rStyle w:val="Pagenumber"/>
                        <w:rFonts w:ascii="Times New Roman" w:hAnsi="Times New Roman"/>
                      </w:rPr>
                      <w:fldChar w:fldCharType="begin"/>
                    </w:r>
                    <w:r>
                      <w:rPr>
                        <w:rStyle w:val="Pagenumber"/>
                        <w:rFonts w:ascii="Times New Roman" w:hAnsi="Times New Roman"/>
                      </w:rPr>
                      <w:instrText xml:space="preserve"> PAGE </w:instrText>
                    </w:r>
                    <w:r>
                      <w:rPr>
                        <w:rStyle w:val="Pagenumber"/>
                        <w:rFonts w:ascii="Times New Roman" w:hAnsi="Times New Roman"/>
                      </w:rPr>
                      <w:fldChar w:fldCharType="separate"/>
                    </w:r>
                    <w:r>
                      <w:rPr>
                        <w:rStyle w:val="Pagenumber"/>
                        <w:rFonts w:ascii="Times New Roman" w:hAnsi="Times New Roman"/>
                      </w:rPr>
                      <w:t>12</w:t>
                    </w:r>
                    <w:r>
                      <w:rPr>
                        <w:rStyle w:val="Pagenumber"/>
                        <w:rFonts w:ascii="Times New Roman" w:hAnsi="Times New Roman"/>
                      </w:rPr>
                      <w:fldChar w:fldCharType="end"/>
                    </w:r>
                  </w:p>
                </w:txbxContent>
              </v:textbox>
              <w10:wrap type="square" side="largest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5"/>
      <w:spacing w:before="0" w:after="200"/>
      <w:rPr/>
    </w:pPr>
    <w:r>
      <w:rPr/>
    </w:r>
    <w:r>
      <mc:AlternateContent>
        <mc:Choice Requires="wps">
          <w:drawing>
            <wp:anchor behindDoc="0" distT="0" distB="0" distL="0" distR="0" simplePos="0" locked="0" layoutInCell="0" allowOverlap="1" relativeHeight="7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27635" cy="146685"/>
              <wp:effectExtent l="0" t="0" r="0" b="0"/>
              <wp:wrapSquare wrapText="largest"/>
              <wp:docPr id="2" name="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7635" cy="146685"/>
                      </a:xfrm>
                      <a:prstGeom prst="rect"/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Style25"/>
                            <w:pBdr/>
                            <w:spacing w:before="0" w:after="200"/>
                            <w:rPr>
                              <w:rStyle w:val="Pagenumber"/>
                              <w:rFonts w:ascii="Times New Roman" w:hAnsi="Times New Roman"/>
                            </w:rPr>
                          </w:pPr>
                          <w:r>
                            <w:rPr>
                              <w:rStyle w:val="Pagenumber"/>
                              <w:rFonts w:ascii="Times New Roman" w:hAnsi="Times New Roman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rFonts w:ascii="Times New Roman" w:hAnsi="Times New Roman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rFonts w:ascii="Times New Roman" w:hAnsi="Times New Roman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rFonts w:ascii="Times New Roman" w:hAnsi="Times New Roman"/>
                            </w:rPr>
                            <w:t>58</w:t>
                          </w:r>
                          <w:r>
                            <w:rPr>
                              <w:rStyle w:val="Pagenumber"/>
                              <w:rFonts w:ascii="Times New Roman" w:hAnsi="Times New Roman"/>
                            </w:rPr>
                            <w:fldChar w:fldCharType="end"/>
                          </w:r>
                        </w:p>
                      </w:txbxContent>
                    </wps:txbx>
                    <wps:bodyPr anchor="t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yle="position:absolute;rotation:-0;width:10.05pt;height:11.55pt;mso-wrap-distance-left:0pt;mso-wrap-distance-right:0pt;mso-wrap-distance-top:0pt;mso-wrap-distance-bottom:0pt;margin-top:0.05pt;mso-position-vertical-relative:text;margin-left:381.25pt;mso-position-horizontal:center;mso-position-horizontal-relative:margin">
              <v:fill opacity="0f"/>
              <v:textbox inset="0in,0in,0in,0in">
                <w:txbxContent>
                  <w:p>
                    <w:pPr>
                      <w:pStyle w:val="Style25"/>
                      <w:pBdr/>
                      <w:spacing w:before="0" w:after="200"/>
                      <w:rPr>
                        <w:rStyle w:val="Pagenumber"/>
                        <w:rFonts w:ascii="Times New Roman" w:hAnsi="Times New Roman"/>
                      </w:rPr>
                    </w:pPr>
                    <w:r>
                      <w:rPr>
                        <w:rStyle w:val="Pagenumber"/>
                        <w:rFonts w:ascii="Times New Roman" w:hAnsi="Times New Roman"/>
                      </w:rPr>
                      <w:fldChar w:fldCharType="begin"/>
                    </w:r>
                    <w:r>
                      <w:rPr>
                        <w:rStyle w:val="Pagenumber"/>
                        <w:rFonts w:ascii="Times New Roman" w:hAnsi="Times New Roman"/>
                      </w:rPr>
                      <w:instrText xml:space="preserve"> PAGE </w:instrText>
                    </w:r>
                    <w:r>
                      <w:rPr>
                        <w:rStyle w:val="Pagenumber"/>
                        <w:rFonts w:ascii="Times New Roman" w:hAnsi="Times New Roman"/>
                      </w:rPr>
                      <w:fldChar w:fldCharType="separate"/>
                    </w:r>
                    <w:r>
                      <w:rPr>
                        <w:rStyle w:val="Pagenumber"/>
                        <w:rFonts w:ascii="Times New Roman" w:hAnsi="Times New Roman"/>
                      </w:rPr>
                      <w:t>58</w:t>
                    </w:r>
                    <w:r>
                      <w:rPr>
                        <w:rStyle w:val="Pagenumber"/>
                        <w:rFonts w:ascii="Times New Roman" w:hAnsi="Times New Roman"/>
                      </w:rPr>
                      <w:fldChar w:fldCharType="end"/>
                    </w:r>
                  </w:p>
                </w:txbxContent>
              </v:textbox>
              <w10:wrap type="square" side="largest"/>
            </v:rect>
          </w:pict>
        </mc:Fallback>
      </mc:AlternateConten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5"/>
      <w:spacing w:before="0" w:after="200"/>
      <w:rPr/>
    </w:pPr>
    <w:r>
      <w:rPr/>
    </w:r>
    <w:r>
      <mc:AlternateContent>
        <mc:Choice Requires="wps">
          <w:drawing>
            <wp:anchor behindDoc="0" distT="0" distB="0" distL="0" distR="0" simplePos="0" locked="0" layoutInCell="0" allowOverlap="1" relativeHeight="10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91135" cy="146685"/>
              <wp:effectExtent l="0" t="0" r="0" b="0"/>
              <wp:wrapSquare wrapText="largest"/>
              <wp:docPr id="3" name="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1135" cy="146685"/>
                      </a:xfrm>
                      <a:prstGeom prst="rect"/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Style25"/>
                            <w:pBdr/>
                            <w:spacing w:before="0" w:after="200"/>
                            <w:rPr>
                              <w:rStyle w:val="Pagenumber"/>
                              <w:rFonts w:ascii="Times New Roman" w:hAnsi="Times New Roman"/>
                            </w:rPr>
                          </w:pPr>
                          <w:r>
                            <w:rPr>
                              <w:rStyle w:val="Pagenumber"/>
                              <w:rFonts w:ascii="Times New Roman" w:hAnsi="Times New Roman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rFonts w:ascii="Times New Roman" w:hAnsi="Times New Roman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rFonts w:ascii="Times New Roman" w:hAnsi="Times New Roman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rFonts w:ascii="Times New Roman" w:hAnsi="Times New Roman"/>
                            </w:rPr>
                            <w:t>103</w:t>
                          </w:r>
                          <w:r>
                            <w:rPr>
                              <w:rStyle w:val="Pagenumber"/>
                              <w:rFonts w:ascii="Times New Roman" w:hAnsi="Times New Roman"/>
                            </w:rPr>
                            <w:fldChar w:fldCharType="end"/>
                          </w:r>
                        </w:p>
                      </w:txbxContent>
                    </wps:txbx>
                    <wps:bodyPr anchor="t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yle="position:absolute;rotation:-0;width:15.05pt;height:11.55pt;mso-wrap-distance-left:0pt;mso-wrap-distance-right:0pt;mso-wrap-distance-top:0pt;mso-wrap-distance-bottom:0pt;margin-top:0.05pt;mso-position-vertical-relative:text;margin-left:232.85pt;mso-position-horizontal:center;mso-position-horizontal-relative:margin">
              <v:fill opacity="0f"/>
              <v:textbox inset="0in,0in,0in,0in">
                <w:txbxContent>
                  <w:p>
                    <w:pPr>
                      <w:pStyle w:val="Style25"/>
                      <w:pBdr/>
                      <w:spacing w:before="0" w:after="200"/>
                      <w:rPr>
                        <w:rStyle w:val="Pagenumber"/>
                        <w:rFonts w:ascii="Times New Roman" w:hAnsi="Times New Roman"/>
                      </w:rPr>
                    </w:pPr>
                    <w:r>
                      <w:rPr>
                        <w:rStyle w:val="Pagenumber"/>
                        <w:rFonts w:ascii="Times New Roman" w:hAnsi="Times New Roman"/>
                      </w:rPr>
                      <w:fldChar w:fldCharType="begin"/>
                    </w:r>
                    <w:r>
                      <w:rPr>
                        <w:rStyle w:val="Pagenumber"/>
                        <w:rFonts w:ascii="Times New Roman" w:hAnsi="Times New Roman"/>
                      </w:rPr>
                      <w:instrText xml:space="preserve"> PAGE </w:instrText>
                    </w:r>
                    <w:r>
                      <w:rPr>
                        <w:rStyle w:val="Pagenumber"/>
                        <w:rFonts w:ascii="Times New Roman" w:hAnsi="Times New Roman"/>
                      </w:rPr>
                      <w:fldChar w:fldCharType="separate"/>
                    </w:r>
                    <w:r>
                      <w:rPr>
                        <w:rStyle w:val="Pagenumber"/>
                        <w:rFonts w:ascii="Times New Roman" w:hAnsi="Times New Roman"/>
                      </w:rPr>
                      <w:t>103</w:t>
                    </w:r>
                    <w:r>
                      <w:rPr>
                        <w:rStyle w:val="Pagenumber"/>
                        <w:rFonts w:ascii="Times New Roman" w:hAnsi="Times New Roman"/>
                      </w:rPr>
                      <w:fldChar w:fldCharType="end"/>
                    </w:r>
                  </w:p>
                </w:txbxContent>
              </v:textbox>
              <w10:wrap type="square" side="largest"/>
            </v:rect>
          </w:pict>
        </mc:Fallback>
      </mc:AlternateConten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embedSystemFonts/>
  <w:defaultTabStop w:val="708"/>
  <w:autoHyphenation w:val="true"/>
  <w:doNotHyphenateCaps/>
  <w:compat>
    <w:compatSetting w:name="compatibilityMode" w:uri="http://schemas.microsoft.com/office/word" w:val="1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uiPriority="0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0" w:semiHidden="1" w:unhideWhenUsed="1" w:qFormat="1"/>
    <w:lsdException w:name="heading 7" w:uiPriority="0" w:semiHidden="1" w:unhideWhenUsed="1" w:qFormat="1"/>
    <w:lsdException w:name="heading 8" w:uiPriority="0" w:semiHidden="1" w:unhideWhenUsed="1" w:qFormat="1"/>
    <w:lsdException w:name="heading 9" w:uiPriority="0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uiPriority="0"/>
    <w:lsdException w:name="footer" w:uiPriority="0"/>
    <w:lsdException w:name="index heading" w:locked="1" w:semiHidden="1" w:unhideWhenUsed="1"/>
    <w:lsdException w:name="caption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uiPriority="0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uiPriority="0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uiPriority="0"/>
    <w:lsdException w:name="FollowedHyperlink" w:uiPriority="0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uiPriority="0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uiPriority="0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customStyle="1">
    <w:name w:val="Normal"/>
    <w:uiPriority w:val="99"/>
    <w:qFormat/>
    <w:rsid w:val="00815040"/>
    <w:pPr>
      <w:widowControl/>
      <w:tabs>
        <w:tab w:val="left" w:pos="708" w:leader="none"/>
      </w:tabs>
      <w:suppressAutoHyphens w:val="true"/>
      <w:bidi w:val="0"/>
      <w:spacing w:lineRule="auto" w:line="276" w:before="0" w:after="200"/>
      <w:jc w:val="left"/>
    </w:pPr>
    <w:rPr>
      <w:rFonts w:ascii="Calibri" w:hAnsi="Calibri" w:eastAsia="Times New Roman" w:cs="Times New Roman"/>
      <w:color w:val="auto"/>
      <w:kern w:val="0"/>
      <w:sz w:val="28"/>
      <w:szCs w:val="24"/>
      <w:lang w:eastAsia="en-US" w:val="ru-RU" w:bidi="ar-SA"/>
    </w:rPr>
  </w:style>
  <w:style w:type="paragraph" w:styleId="1">
    <w:name w:val="Heading 1"/>
    <w:basedOn w:val="Normal"/>
    <w:link w:val="11"/>
    <w:uiPriority w:val="99"/>
    <w:qFormat/>
    <w:rsid w:val="003a6926"/>
    <w:pPr>
      <w:spacing w:lineRule="atLeast" w:line="102" w:beforeAutospacing="1" w:after="62"/>
      <w:outlineLvl w:val="0"/>
    </w:pPr>
    <w:rPr>
      <w:rFonts w:ascii="Times New Roman" w:hAnsi="Times New Roman" w:cs="Times New Roman"/>
      <w:b/>
      <w:bCs/>
      <w:kern w:val="2"/>
      <w:sz w:val="48"/>
      <w:szCs w:val="48"/>
    </w:rPr>
  </w:style>
  <w:style w:type="paragraph" w:styleId="2">
    <w:name w:val="Heading 2"/>
    <w:basedOn w:val="Normal"/>
    <w:next w:val="Normal"/>
    <w:link w:val="21"/>
    <w:uiPriority w:val="99"/>
    <w:qFormat/>
    <w:locked/>
    <w:rsid w:val="00815040"/>
    <w:pPr>
      <w:keepNext w:val="true"/>
      <w:spacing w:lineRule="auto" w:line="240" w:before="0" w:after="0"/>
      <w:jc w:val="center"/>
      <w:outlineLvl w:val="1"/>
    </w:pPr>
    <w:rPr>
      <w:rFonts w:ascii="Times New Roman" w:hAnsi="Times New Roman" w:cs="Times New Roman"/>
      <w:b/>
      <w:sz w:val="48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uiPriority w:val="99"/>
    <w:qFormat/>
    <w:locked/>
    <w:rsid w:val="003a6926"/>
    <w:rPr>
      <w:rFonts w:ascii="Times New Roman" w:hAnsi="Times New Roman"/>
      <w:b/>
      <w:kern w:val="2"/>
      <w:sz w:val="48"/>
    </w:rPr>
  </w:style>
  <w:style w:type="character" w:styleId="21" w:customStyle="1">
    <w:name w:val="Заголовок 2 Знак"/>
    <w:uiPriority w:val="99"/>
    <w:qFormat/>
    <w:locked/>
    <w:rsid w:val="00815040"/>
    <w:rPr>
      <w:rFonts w:ascii="Times New Roman" w:hAnsi="Times New Roman"/>
      <w:b/>
      <w:sz w:val="48"/>
    </w:rPr>
  </w:style>
  <w:style w:type="character" w:styleId="Style12">
    <w:name w:val="Hyperlink"/>
    <w:uiPriority w:val="99"/>
    <w:rsid w:val="003a6926"/>
    <w:rPr>
      <w:rFonts w:cs="Times New Roman"/>
      <w:color w:val="0000FF"/>
      <w:u w:val="single"/>
    </w:rPr>
  </w:style>
  <w:style w:type="character" w:styleId="Style13" w:customStyle="1">
    <w:name w:val="Верхний колонтитул Знак"/>
    <w:basedOn w:val="DefaultParagraphFont"/>
    <w:uiPriority w:val="99"/>
    <w:qFormat/>
    <w:locked/>
    <w:rsid w:val="00e91fce"/>
    <w:rPr/>
  </w:style>
  <w:style w:type="character" w:styleId="Pagenumber">
    <w:name w:val="page number"/>
    <w:uiPriority w:val="99"/>
    <w:qFormat/>
    <w:rsid w:val="00bc2402"/>
    <w:rPr>
      <w:rFonts w:cs="Times New Roman"/>
    </w:rPr>
  </w:style>
  <w:style w:type="character" w:styleId="Style14" w:customStyle="1">
    <w:name w:val="Нижний колонтитул Знак"/>
    <w:uiPriority w:val="99"/>
    <w:qFormat/>
    <w:locked/>
    <w:rsid w:val="00ad365f"/>
    <w:rPr>
      <w:sz w:val="22"/>
    </w:rPr>
  </w:style>
  <w:style w:type="character" w:styleId="BalloonTextChar" w:customStyle="1">
    <w:name w:val="Balloon Text Char"/>
    <w:uiPriority w:val="99"/>
    <w:semiHidden/>
    <w:qFormat/>
    <w:locked/>
    <w:rsid w:val="00815040"/>
    <w:rPr>
      <w:rFonts w:ascii="Tahoma" w:hAnsi="Tahoma"/>
      <w:sz w:val="16"/>
    </w:rPr>
  </w:style>
  <w:style w:type="character" w:styleId="Style15" w:customStyle="1">
    <w:name w:val="Текст выноски Знак"/>
    <w:link w:val="BalloonText"/>
    <w:uiPriority w:val="99"/>
    <w:qFormat/>
    <w:locked/>
    <w:rsid w:val="00425395"/>
    <w:rPr>
      <w:rFonts w:ascii="Times New Roman" w:hAnsi="Times New Roman"/>
      <w:sz w:val="2"/>
    </w:rPr>
  </w:style>
  <w:style w:type="character" w:styleId="Style16">
    <w:name w:val="FollowedHyperlink"/>
    <w:uiPriority w:val="99"/>
    <w:rsid w:val="00815040"/>
    <w:rPr>
      <w:rFonts w:cs="Times New Roman"/>
      <w:color w:val="800080"/>
      <w:u w:val="single"/>
    </w:rPr>
  </w:style>
  <w:style w:type="character" w:styleId="12" w:customStyle="1">
    <w:name w:val="Основной шрифт абзаца1"/>
    <w:uiPriority w:val="99"/>
    <w:qFormat/>
    <w:rsid w:val="00815040"/>
    <w:rPr/>
  </w:style>
  <w:style w:type="character" w:styleId="Detailfreitext" w:customStyle="1">
    <w:name w:val="detailfreitext"/>
    <w:uiPriority w:val="99"/>
    <w:qFormat/>
    <w:rsid w:val="00815040"/>
    <w:rPr/>
  </w:style>
  <w:style w:type="character" w:styleId="3" w:customStyle="1">
    <w:name w:val="Основной текст с отступом 3 Знак"/>
    <w:link w:val="BodyTextIndent3"/>
    <w:uiPriority w:val="99"/>
    <w:qFormat/>
    <w:locked/>
    <w:rsid w:val="0071675b"/>
    <w:rPr>
      <w:rFonts w:ascii="Times New Roman" w:hAnsi="Times New Roman"/>
      <w:kern w:val="2"/>
      <w:sz w:val="16"/>
      <w:lang w:eastAsia="zh-CN"/>
    </w:rPr>
  </w:style>
  <w:style w:type="character" w:styleId="FontStyle94" w:customStyle="1">
    <w:name w:val="Font Style94"/>
    <w:uiPriority w:val="99"/>
    <w:qFormat/>
    <w:rsid w:val="009418b2"/>
    <w:rPr>
      <w:rFonts w:ascii="Times New Roman" w:hAnsi="Times New Roman"/>
      <w:sz w:val="26"/>
    </w:rPr>
  </w:style>
  <w:style w:type="character" w:styleId="13" w:customStyle="1">
    <w:name w:val="Знак Знак1"/>
    <w:uiPriority w:val="99"/>
    <w:qFormat/>
    <w:rsid w:val="00de2267"/>
    <w:rPr>
      <w:sz w:val="28"/>
    </w:rPr>
  </w:style>
  <w:style w:type="character" w:styleId="Style17" w:customStyle="1">
    <w:name w:val="Знак Знак"/>
    <w:uiPriority w:val="99"/>
    <w:qFormat/>
    <w:rsid w:val="00de2267"/>
    <w:rPr>
      <w:sz w:val="28"/>
    </w:rPr>
  </w:style>
  <w:style w:type="character" w:styleId="WW8Num1z0" w:customStyle="1">
    <w:name w:val="WW8Num1z0"/>
    <w:uiPriority w:val="99"/>
    <w:qFormat/>
    <w:rsid w:val="00f313e3"/>
    <w:rPr/>
  </w:style>
  <w:style w:type="character" w:styleId="WW8Num1z1" w:customStyle="1">
    <w:name w:val="WW8Num1z1"/>
    <w:uiPriority w:val="99"/>
    <w:qFormat/>
    <w:rsid w:val="00f313e3"/>
    <w:rPr/>
  </w:style>
  <w:style w:type="character" w:styleId="WW8Num1z2" w:customStyle="1">
    <w:name w:val="WW8Num1z2"/>
    <w:uiPriority w:val="99"/>
    <w:qFormat/>
    <w:rsid w:val="00f313e3"/>
    <w:rPr/>
  </w:style>
  <w:style w:type="character" w:styleId="WW8Num1z3" w:customStyle="1">
    <w:name w:val="WW8Num1z3"/>
    <w:uiPriority w:val="99"/>
    <w:qFormat/>
    <w:rsid w:val="00f313e3"/>
    <w:rPr/>
  </w:style>
  <w:style w:type="character" w:styleId="WW8Num1z4" w:customStyle="1">
    <w:name w:val="WW8Num1z4"/>
    <w:uiPriority w:val="99"/>
    <w:qFormat/>
    <w:rsid w:val="00f313e3"/>
    <w:rPr/>
  </w:style>
  <w:style w:type="character" w:styleId="WW8Num1z5" w:customStyle="1">
    <w:name w:val="WW8Num1z5"/>
    <w:uiPriority w:val="99"/>
    <w:qFormat/>
    <w:rsid w:val="00f313e3"/>
    <w:rPr/>
  </w:style>
  <w:style w:type="character" w:styleId="WW8Num1z6" w:customStyle="1">
    <w:name w:val="WW8Num1z6"/>
    <w:uiPriority w:val="99"/>
    <w:qFormat/>
    <w:rsid w:val="00f313e3"/>
    <w:rPr/>
  </w:style>
  <w:style w:type="character" w:styleId="WW8Num1z7" w:customStyle="1">
    <w:name w:val="WW8Num1z7"/>
    <w:uiPriority w:val="99"/>
    <w:qFormat/>
    <w:rsid w:val="00f313e3"/>
    <w:rPr/>
  </w:style>
  <w:style w:type="character" w:styleId="WW8Num1z8" w:customStyle="1">
    <w:name w:val="WW8Num1z8"/>
    <w:uiPriority w:val="99"/>
    <w:qFormat/>
    <w:rsid w:val="00f313e3"/>
    <w:rPr/>
  </w:style>
  <w:style w:type="character" w:styleId="WW8Num2z0" w:customStyle="1">
    <w:name w:val="WW8Num2z0"/>
    <w:uiPriority w:val="99"/>
    <w:qFormat/>
    <w:rsid w:val="00f313e3"/>
    <w:rPr/>
  </w:style>
  <w:style w:type="character" w:styleId="WW8Num3z0" w:customStyle="1">
    <w:name w:val="WW8Num3z0"/>
    <w:uiPriority w:val="99"/>
    <w:qFormat/>
    <w:rsid w:val="00f313e3"/>
    <w:rPr/>
  </w:style>
  <w:style w:type="character" w:styleId="WW8Num4z0" w:customStyle="1">
    <w:name w:val="WW8Num4z0"/>
    <w:uiPriority w:val="99"/>
    <w:qFormat/>
    <w:rsid w:val="00f313e3"/>
    <w:rPr/>
  </w:style>
  <w:style w:type="character" w:styleId="WW8Num4z1" w:customStyle="1">
    <w:name w:val="WW8Num4z1"/>
    <w:uiPriority w:val="99"/>
    <w:qFormat/>
    <w:rsid w:val="00f313e3"/>
    <w:rPr/>
  </w:style>
  <w:style w:type="character" w:styleId="WW8Num4z2" w:customStyle="1">
    <w:name w:val="WW8Num4z2"/>
    <w:uiPriority w:val="99"/>
    <w:qFormat/>
    <w:rsid w:val="00f313e3"/>
    <w:rPr/>
  </w:style>
  <w:style w:type="character" w:styleId="WW8Num4z3" w:customStyle="1">
    <w:name w:val="WW8Num4z3"/>
    <w:uiPriority w:val="99"/>
    <w:qFormat/>
    <w:rsid w:val="00f313e3"/>
    <w:rPr/>
  </w:style>
  <w:style w:type="character" w:styleId="WW8Num4z4" w:customStyle="1">
    <w:name w:val="WW8Num4z4"/>
    <w:uiPriority w:val="99"/>
    <w:qFormat/>
    <w:rsid w:val="00f313e3"/>
    <w:rPr/>
  </w:style>
  <w:style w:type="character" w:styleId="WW8Num4z5" w:customStyle="1">
    <w:name w:val="WW8Num4z5"/>
    <w:uiPriority w:val="99"/>
    <w:qFormat/>
    <w:rsid w:val="00f313e3"/>
    <w:rPr/>
  </w:style>
  <w:style w:type="character" w:styleId="WW8Num4z6" w:customStyle="1">
    <w:name w:val="WW8Num4z6"/>
    <w:uiPriority w:val="99"/>
    <w:qFormat/>
    <w:rsid w:val="00f313e3"/>
    <w:rPr/>
  </w:style>
  <w:style w:type="character" w:styleId="WW8Num4z7" w:customStyle="1">
    <w:name w:val="WW8Num4z7"/>
    <w:uiPriority w:val="99"/>
    <w:qFormat/>
    <w:rsid w:val="00f313e3"/>
    <w:rPr/>
  </w:style>
  <w:style w:type="character" w:styleId="WW8Num4z8" w:customStyle="1">
    <w:name w:val="WW8Num4z8"/>
    <w:uiPriority w:val="99"/>
    <w:qFormat/>
    <w:rsid w:val="00f313e3"/>
    <w:rPr/>
  </w:style>
  <w:style w:type="character" w:styleId="WW8Num5z0" w:customStyle="1">
    <w:name w:val="WW8Num5z0"/>
    <w:uiPriority w:val="99"/>
    <w:qFormat/>
    <w:rsid w:val="00f313e3"/>
    <w:rPr/>
  </w:style>
  <w:style w:type="character" w:styleId="WW8Num5z1" w:customStyle="1">
    <w:name w:val="WW8Num5z1"/>
    <w:uiPriority w:val="99"/>
    <w:qFormat/>
    <w:rsid w:val="00f313e3"/>
    <w:rPr/>
  </w:style>
  <w:style w:type="character" w:styleId="WW8Num5z2" w:customStyle="1">
    <w:name w:val="WW8Num5z2"/>
    <w:uiPriority w:val="99"/>
    <w:qFormat/>
    <w:rsid w:val="00f313e3"/>
    <w:rPr/>
  </w:style>
  <w:style w:type="character" w:styleId="WW8Num5z3" w:customStyle="1">
    <w:name w:val="WW8Num5z3"/>
    <w:uiPriority w:val="99"/>
    <w:qFormat/>
    <w:rsid w:val="00f313e3"/>
    <w:rPr/>
  </w:style>
  <w:style w:type="character" w:styleId="WW8Num5z4" w:customStyle="1">
    <w:name w:val="WW8Num5z4"/>
    <w:uiPriority w:val="99"/>
    <w:qFormat/>
    <w:rsid w:val="00f313e3"/>
    <w:rPr/>
  </w:style>
  <w:style w:type="character" w:styleId="WW8Num5z5" w:customStyle="1">
    <w:name w:val="WW8Num5z5"/>
    <w:uiPriority w:val="99"/>
    <w:qFormat/>
    <w:rsid w:val="00f313e3"/>
    <w:rPr/>
  </w:style>
  <w:style w:type="character" w:styleId="WW8Num5z6" w:customStyle="1">
    <w:name w:val="WW8Num5z6"/>
    <w:uiPriority w:val="99"/>
    <w:qFormat/>
    <w:rsid w:val="00f313e3"/>
    <w:rPr/>
  </w:style>
  <w:style w:type="character" w:styleId="WW8Num5z7" w:customStyle="1">
    <w:name w:val="WW8Num5z7"/>
    <w:uiPriority w:val="99"/>
    <w:qFormat/>
    <w:rsid w:val="00f313e3"/>
    <w:rPr/>
  </w:style>
  <w:style w:type="character" w:styleId="WW8Num5z8" w:customStyle="1">
    <w:name w:val="WW8Num5z8"/>
    <w:uiPriority w:val="99"/>
    <w:qFormat/>
    <w:rsid w:val="00f313e3"/>
    <w:rPr/>
  </w:style>
  <w:style w:type="character" w:styleId="WW8Num6z0" w:customStyle="1">
    <w:name w:val="WW8Num6z0"/>
    <w:uiPriority w:val="99"/>
    <w:qFormat/>
    <w:rsid w:val="00f313e3"/>
    <w:rPr/>
  </w:style>
  <w:style w:type="character" w:styleId="WW8Num6z1" w:customStyle="1">
    <w:name w:val="WW8Num6z1"/>
    <w:uiPriority w:val="99"/>
    <w:qFormat/>
    <w:rsid w:val="00f313e3"/>
    <w:rPr/>
  </w:style>
  <w:style w:type="character" w:styleId="WW8Num6z2" w:customStyle="1">
    <w:name w:val="WW8Num6z2"/>
    <w:uiPriority w:val="99"/>
    <w:qFormat/>
    <w:rsid w:val="00f313e3"/>
    <w:rPr/>
  </w:style>
  <w:style w:type="character" w:styleId="WW8Num6z3" w:customStyle="1">
    <w:name w:val="WW8Num6z3"/>
    <w:uiPriority w:val="99"/>
    <w:qFormat/>
    <w:rsid w:val="00f313e3"/>
    <w:rPr/>
  </w:style>
  <w:style w:type="character" w:styleId="WW8Num6z4" w:customStyle="1">
    <w:name w:val="WW8Num6z4"/>
    <w:uiPriority w:val="99"/>
    <w:qFormat/>
    <w:rsid w:val="00f313e3"/>
    <w:rPr/>
  </w:style>
  <w:style w:type="character" w:styleId="WW8Num6z5" w:customStyle="1">
    <w:name w:val="WW8Num6z5"/>
    <w:uiPriority w:val="99"/>
    <w:qFormat/>
    <w:rsid w:val="00f313e3"/>
    <w:rPr/>
  </w:style>
  <w:style w:type="character" w:styleId="WW8Num6z6" w:customStyle="1">
    <w:name w:val="WW8Num6z6"/>
    <w:uiPriority w:val="99"/>
    <w:qFormat/>
    <w:rsid w:val="00f313e3"/>
    <w:rPr/>
  </w:style>
  <w:style w:type="character" w:styleId="WW8Num6z7" w:customStyle="1">
    <w:name w:val="WW8Num6z7"/>
    <w:uiPriority w:val="99"/>
    <w:qFormat/>
    <w:rsid w:val="00f313e3"/>
    <w:rPr/>
  </w:style>
  <w:style w:type="character" w:styleId="WW8Num6z8" w:customStyle="1">
    <w:name w:val="WW8Num6z8"/>
    <w:uiPriority w:val="99"/>
    <w:qFormat/>
    <w:rsid w:val="00f313e3"/>
    <w:rPr/>
  </w:style>
  <w:style w:type="character" w:styleId="22" w:customStyle="1">
    <w:name w:val="Основной шрифт абзаца2"/>
    <w:uiPriority w:val="99"/>
    <w:qFormat/>
    <w:rsid w:val="00f313e3"/>
    <w:rPr/>
  </w:style>
  <w:style w:type="character" w:styleId="Style18" w:customStyle="1">
    <w:name w:val="Основной текст Знак"/>
    <w:link w:val="Textbody"/>
    <w:uiPriority w:val="99"/>
    <w:qFormat/>
    <w:locked/>
    <w:rsid w:val="00f313e3"/>
    <w:rPr>
      <w:rFonts w:ascii="Times New Roman" w:hAnsi="Times New Roman"/>
      <w:sz w:val="28"/>
      <w:lang w:eastAsia="zh-CN"/>
    </w:rPr>
  </w:style>
  <w:style w:type="character" w:styleId="14" w:customStyle="1">
    <w:name w:val="Верхний колонтитул Знак1"/>
    <w:uiPriority w:val="99"/>
    <w:qFormat/>
    <w:rsid w:val="00f313e3"/>
    <w:rPr>
      <w:sz w:val="28"/>
      <w:lang w:eastAsia="zh-CN"/>
    </w:rPr>
  </w:style>
  <w:style w:type="character" w:styleId="15" w:customStyle="1">
    <w:name w:val="Нижний колонтитул Знак1"/>
    <w:uiPriority w:val="99"/>
    <w:qFormat/>
    <w:rsid w:val="00f313e3"/>
    <w:rPr>
      <w:sz w:val="28"/>
      <w:lang w:eastAsia="zh-CN"/>
    </w:rPr>
  </w:style>
  <w:style w:type="paragraph" w:styleId="Style19" w:customStyle="1">
    <w:name w:val="Заголовок"/>
    <w:basedOn w:val="Normal"/>
    <w:next w:val="Style20"/>
    <w:uiPriority w:val="99"/>
    <w:qFormat/>
    <w:rsid w:val="00f313e3"/>
    <w:pPr>
      <w:keepNext w:val="true"/>
      <w:suppressAutoHyphens w:val="true"/>
      <w:spacing w:lineRule="auto" w:line="240" w:before="240" w:after="120"/>
    </w:pPr>
    <w:rPr>
      <w:rFonts w:ascii="Liberation Sans" w:hAnsi="Liberation Sans" w:eastAsia="Microsoft YaHei" w:cs="Mangal"/>
      <w:sz w:val="28"/>
      <w:szCs w:val="28"/>
      <w:lang w:eastAsia="zh-CN"/>
    </w:rPr>
  </w:style>
  <w:style w:type="paragraph" w:styleId="Style20">
    <w:name w:val="Body Text"/>
    <w:basedOn w:val="Normal"/>
    <w:link w:val="Style18"/>
    <w:uiPriority w:val="99"/>
    <w:locked/>
    <w:rsid w:val="00f313e3"/>
    <w:pPr>
      <w:suppressAutoHyphens w:val="true"/>
      <w:spacing w:before="0" w:after="140"/>
    </w:pPr>
    <w:rPr>
      <w:rFonts w:ascii="Times New Roman" w:hAnsi="Times New Roman" w:cs="Times New Roman"/>
      <w:sz w:val="28"/>
      <w:szCs w:val="20"/>
      <w:lang w:eastAsia="zh-CN"/>
    </w:rPr>
  </w:style>
  <w:style w:type="paragraph" w:styleId="Style21">
    <w:name w:val="List"/>
    <w:basedOn w:val="Style20"/>
    <w:uiPriority w:val="99"/>
    <w:locked/>
    <w:rsid w:val="00f313e3"/>
    <w:pPr/>
    <w:rPr>
      <w:rFonts w:cs="Mangal"/>
    </w:rPr>
  </w:style>
  <w:style w:type="paragraph" w:styleId="Style22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23">
    <w:name w:val="Указатель"/>
    <w:basedOn w:val="Normal"/>
    <w:qFormat/>
    <w:pPr>
      <w:suppressLineNumbers/>
    </w:pPr>
    <w:rPr>
      <w:rFonts w:cs="Arial Unicode MS"/>
    </w:rPr>
  </w:style>
  <w:style w:type="paragraph" w:styleId="NormalWeb">
    <w:name w:val="Normal (Web)"/>
    <w:basedOn w:val="Normal"/>
    <w:uiPriority w:val="99"/>
    <w:qFormat/>
    <w:rsid w:val="003a6926"/>
    <w:pPr>
      <w:spacing w:lineRule="auto" w:line="240" w:beforeAutospacing="1" w:after="119"/>
      <w:ind w:firstLine="709"/>
      <w:jc w:val="both"/>
    </w:pPr>
    <w:rPr>
      <w:sz w:val="24"/>
      <w:szCs w:val="24"/>
    </w:rPr>
  </w:style>
  <w:style w:type="paragraph" w:styleId="Western" w:customStyle="1">
    <w:name w:val="western"/>
    <w:basedOn w:val="Normal"/>
    <w:uiPriority w:val="99"/>
    <w:qFormat/>
    <w:rsid w:val="003a6926"/>
    <w:pPr>
      <w:spacing w:lineRule="auto" w:line="240" w:beforeAutospacing="1" w:after="119"/>
      <w:ind w:firstLine="709"/>
      <w:jc w:val="both"/>
    </w:pPr>
    <w:rPr>
      <w:sz w:val="26"/>
      <w:szCs w:val="26"/>
    </w:rPr>
  </w:style>
  <w:style w:type="paragraph" w:styleId="Western1" w:customStyle="1">
    <w:name w:val="western1"/>
    <w:basedOn w:val="Normal"/>
    <w:uiPriority w:val="99"/>
    <w:qFormat/>
    <w:rsid w:val="003a6926"/>
    <w:pPr>
      <w:spacing w:lineRule="auto" w:line="240" w:beforeAutospacing="1" w:after="0"/>
      <w:ind w:firstLine="709"/>
      <w:jc w:val="both"/>
    </w:pPr>
    <w:rPr>
      <w:rFonts w:ascii="Arial" w:hAnsi="Arial" w:cs="Arial"/>
      <w:sz w:val="18"/>
      <w:szCs w:val="18"/>
    </w:rPr>
  </w:style>
  <w:style w:type="paragraph" w:styleId="ListParagraph">
    <w:name w:val="List Paragraph"/>
    <w:basedOn w:val="Normal"/>
    <w:uiPriority w:val="99"/>
    <w:qFormat/>
    <w:rsid w:val="00b44cb9"/>
    <w:pPr>
      <w:ind w:left="720" w:hanging="0"/>
    </w:pPr>
    <w:rPr/>
  </w:style>
  <w:style w:type="paragraph" w:styleId="Style24">
    <w:name w:val="Колонтитул"/>
    <w:basedOn w:val="Normal"/>
    <w:qFormat/>
    <w:pPr/>
    <w:rPr/>
  </w:style>
  <w:style w:type="paragraph" w:styleId="Style25">
    <w:name w:val="Header"/>
    <w:basedOn w:val="Normal"/>
    <w:link w:val="Style13"/>
    <w:uiPriority w:val="99"/>
    <w:rsid w:val="00bc2402"/>
    <w:pPr>
      <w:tabs>
        <w:tab w:val="clear" w:pos="708"/>
        <w:tab w:val="center" w:pos="4677" w:leader="none"/>
        <w:tab w:val="right" w:pos="9355" w:leader="none"/>
      </w:tabs>
    </w:pPr>
    <w:rPr>
      <w:rFonts w:cs="Times New Roman"/>
      <w:sz w:val="20"/>
      <w:szCs w:val="20"/>
    </w:rPr>
  </w:style>
  <w:style w:type="paragraph" w:styleId="NoSpacing">
    <w:name w:val="No Spacing"/>
    <w:uiPriority w:val="99"/>
    <w:qFormat/>
    <w:rsid w:val="001f7de3"/>
    <w:pPr>
      <w:widowControl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0"/>
      <w:lang w:val="ru-RU" w:eastAsia="ru-RU" w:bidi="ar-SA"/>
    </w:rPr>
  </w:style>
  <w:style w:type="paragraph" w:styleId="Style26">
    <w:name w:val="Footer"/>
    <w:basedOn w:val="Normal"/>
    <w:link w:val="Style14"/>
    <w:uiPriority w:val="99"/>
    <w:rsid w:val="00ad365f"/>
    <w:pPr>
      <w:tabs>
        <w:tab w:val="clear" w:pos="708"/>
        <w:tab w:val="center" w:pos="4677" w:leader="none"/>
        <w:tab w:val="right" w:pos="9355" w:leader="none"/>
      </w:tabs>
    </w:pPr>
    <w:rPr>
      <w:rFonts w:cs="Times New Roman"/>
    </w:rPr>
  </w:style>
  <w:style w:type="paragraph" w:styleId="Standard" w:customStyle="1">
    <w:name w:val="Standard"/>
    <w:uiPriority w:val="99"/>
    <w:qFormat/>
    <w:rsid w:val="00c901d9"/>
    <w:pPr>
      <w:widowControl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Times New Roman" w:cs="Times New Roman"/>
      <w:color w:val="auto"/>
      <w:kern w:val="2"/>
      <w:sz w:val="24"/>
      <w:szCs w:val="24"/>
      <w:lang w:eastAsia="zh-CN" w:val="ru-RU" w:bidi="ar-SA"/>
    </w:rPr>
  </w:style>
  <w:style w:type="paragraph" w:styleId="BalloonText">
    <w:name w:val="Balloon Text"/>
    <w:basedOn w:val="Normal"/>
    <w:link w:val="Style15"/>
    <w:uiPriority w:val="99"/>
    <w:qFormat/>
    <w:rsid w:val="00815040"/>
    <w:pPr>
      <w:spacing w:lineRule="auto" w:line="240" w:before="0" w:after="0"/>
    </w:pPr>
    <w:rPr>
      <w:rFonts w:ascii="Times New Roman" w:hAnsi="Times New Roman" w:cs="Times New Roman"/>
      <w:sz w:val="2"/>
      <w:szCs w:val="20"/>
    </w:rPr>
  </w:style>
  <w:style w:type="paragraph" w:styleId="Ctl" w:customStyle="1">
    <w:name w:val="ctl"/>
    <w:basedOn w:val="Normal"/>
    <w:uiPriority w:val="99"/>
    <w:qFormat/>
    <w:rsid w:val="00815040"/>
    <w:pPr>
      <w:spacing w:lineRule="auto" w:line="360" w:beforeAutospacing="1" w:after="119"/>
      <w:ind w:firstLine="709"/>
      <w:jc w:val="both"/>
    </w:pPr>
    <w:rPr>
      <w:rFonts w:ascii="Times New Roman" w:hAnsi="Times New Roman" w:cs="Times New Roman"/>
      <w:sz w:val="20"/>
      <w:szCs w:val="20"/>
    </w:rPr>
  </w:style>
  <w:style w:type="paragraph" w:styleId="ConsPlusNormal" w:customStyle="1">
    <w:name w:val="ConsPlusNormal"/>
    <w:uiPriority w:val="99"/>
    <w:qFormat/>
    <w:rsid w:val="00815040"/>
    <w:pPr>
      <w:widowControl w:val="false"/>
      <w:suppressAutoHyphens w:val="true"/>
      <w:bidi w:val="0"/>
      <w:spacing w:lineRule="atLeast" w:line="100" w:before="0" w:after="0"/>
      <w:ind w:firstLine="720"/>
      <w:jc w:val="left"/>
    </w:pPr>
    <w:rPr>
      <w:rFonts w:ascii="Arial" w:hAnsi="Arial" w:cs="Arial" w:eastAsia="Times New Roman"/>
      <w:color w:val="auto"/>
      <w:kern w:val="0"/>
      <w:sz w:val="20"/>
      <w:szCs w:val="20"/>
      <w:lang w:eastAsia="zh-CN" w:val="ru-RU" w:bidi="ar-SA"/>
    </w:rPr>
  </w:style>
  <w:style w:type="paragraph" w:styleId="Cjk" w:customStyle="1">
    <w:name w:val="cjk"/>
    <w:basedOn w:val="Normal"/>
    <w:uiPriority w:val="99"/>
    <w:qFormat/>
    <w:rsid w:val="00815040"/>
    <w:pPr>
      <w:spacing w:lineRule="auto" w:line="360" w:beforeAutospacing="1" w:after="119"/>
      <w:ind w:firstLine="709"/>
      <w:jc w:val="both"/>
    </w:pPr>
    <w:rPr>
      <w:rFonts w:ascii="Times New Roman" w:hAnsi="Times New Roman" w:cs="Times New Roman"/>
      <w:sz w:val="26"/>
      <w:szCs w:val="26"/>
    </w:rPr>
  </w:style>
  <w:style w:type="paragraph" w:styleId="Cjk1" w:customStyle="1">
    <w:name w:val="cjk1"/>
    <w:basedOn w:val="Normal"/>
    <w:uiPriority w:val="99"/>
    <w:qFormat/>
    <w:rsid w:val="00815040"/>
    <w:pPr>
      <w:spacing w:lineRule="atLeast" w:line="102" w:beforeAutospacing="1" w:after="0"/>
      <w:ind w:firstLine="709"/>
      <w:jc w:val="both"/>
    </w:pPr>
    <w:rPr>
      <w:rFonts w:ascii="Times New Roman" w:hAnsi="Times New Roman" w:cs="Times New Roman"/>
      <w:sz w:val="18"/>
      <w:szCs w:val="18"/>
    </w:rPr>
  </w:style>
  <w:style w:type="paragraph" w:styleId="Ctl1" w:customStyle="1">
    <w:name w:val="ctl1"/>
    <w:basedOn w:val="Normal"/>
    <w:uiPriority w:val="99"/>
    <w:qFormat/>
    <w:rsid w:val="00815040"/>
    <w:pPr>
      <w:spacing w:lineRule="atLeast" w:line="102" w:beforeAutospacing="1" w:after="0"/>
      <w:ind w:firstLine="709"/>
      <w:jc w:val="both"/>
    </w:pPr>
    <w:rPr>
      <w:rFonts w:ascii="Arial" w:hAnsi="Arial" w:cs="Arial"/>
      <w:sz w:val="18"/>
      <w:szCs w:val="18"/>
    </w:rPr>
  </w:style>
  <w:style w:type="paragraph" w:styleId="Textbody" w:customStyle="1">
    <w:name w:val="Text body"/>
    <w:basedOn w:val="Standard"/>
    <w:uiPriority w:val="99"/>
    <w:qFormat/>
    <w:rsid w:val="0071675b"/>
    <w:pPr>
      <w:suppressAutoHyphens w:val="false"/>
      <w:spacing w:lineRule="auto" w:line="276" w:before="0" w:after="283"/>
    </w:pPr>
    <w:rPr>
      <w:rFonts w:ascii="Calibri" w:hAnsi="Calibri"/>
      <w:kern w:val="0"/>
      <w:sz w:val="22"/>
      <w:szCs w:val="22"/>
      <w:lang w:eastAsia="en-US"/>
    </w:rPr>
  </w:style>
  <w:style w:type="paragraph" w:styleId="ConsPlusCell" w:customStyle="1">
    <w:name w:val="ConsPlusCell"/>
    <w:uiPriority w:val="99"/>
    <w:qFormat/>
    <w:rsid w:val="0071675b"/>
    <w:pPr>
      <w:widowControl w:val="false"/>
      <w:tabs>
        <w:tab w:val="left" w:pos="708" w:leader="none"/>
      </w:tabs>
      <w:suppressAutoHyphens w:val="true"/>
      <w:bidi w:val="0"/>
      <w:spacing w:lineRule="atLeast" w:line="100" w:before="0" w:after="0"/>
      <w:jc w:val="left"/>
    </w:pPr>
    <w:rPr>
      <w:rFonts w:eastAsia="SimSun" w:cs="Calibri" w:ascii="Calibri" w:hAnsi="Calibri"/>
      <w:color w:val="auto"/>
      <w:kern w:val="0"/>
      <w:sz w:val="22"/>
      <w:szCs w:val="22"/>
      <w:lang w:val="ru-RU" w:eastAsia="ru-RU" w:bidi="ar-SA"/>
    </w:rPr>
  </w:style>
  <w:style w:type="paragraph" w:styleId="BodyTextIndent3">
    <w:name w:val="Body Text Indent 3"/>
    <w:basedOn w:val="Standard"/>
    <w:link w:val="3"/>
    <w:uiPriority w:val="99"/>
    <w:qFormat/>
    <w:rsid w:val="0071675b"/>
    <w:pPr>
      <w:spacing w:before="0" w:after="120"/>
      <w:ind w:left="283" w:hanging="0"/>
    </w:pPr>
    <w:rPr>
      <w:sz w:val="16"/>
      <w:szCs w:val="16"/>
    </w:rPr>
  </w:style>
  <w:style w:type="paragraph" w:styleId="Heading" w:customStyle="1">
    <w:name w:val="Heading"/>
    <w:uiPriority w:val="99"/>
    <w:qFormat/>
    <w:rsid w:val="00a95aa2"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Arial" w:hAnsi="Arial" w:cs="Arial" w:eastAsia="Times New Roman"/>
      <w:b/>
      <w:bCs/>
      <w:color w:val="auto"/>
      <w:kern w:val="2"/>
      <w:sz w:val="22"/>
      <w:szCs w:val="22"/>
      <w:lang w:eastAsia="zh-CN" w:val="ru-RU" w:bidi="ar-SA"/>
    </w:rPr>
  </w:style>
  <w:style w:type="paragraph" w:styleId="Style27" w:customStyle="1">
    <w:name w:val="Содержимое таблицы"/>
    <w:basedOn w:val="Normal"/>
    <w:uiPriority w:val="99"/>
    <w:qFormat/>
    <w:rsid w:val="00f313e3"/>
    <w:pPr>
      <w:suppressLineNumbers/>
      <w:suppressAutoHyphens w:val="true"/>
      <w:spacing w:lineRule="auto" w:line="240" w:before="0" w:after="0"/>
    </w:pPr>
    <w:rPr>
      <w:rFonts w:ascii="Times New Roman" w:hAnsi="Times New Roman" w:cs="Times New Roman"/>
      <w:sz w:val="28"/>
      <w:szCs w:val="20"/>
      <w:lang w:eastAsia="zh-CN"/>
    </w:rPr>
  </w:style>
  <w:style w:type="paragraph" w:styleId="LytsunriseLTGliederung1" w:customStyle="1">
    <w:name w:val="lyt-sunrise~LT~Gliederung 1"/>
    <w:uiPriority w:val="99"/>
    <w:qFormat/>
    <w:rsid w:val="00a95aa2"/>
    <w:pPr>
      <w:widowControl w:val="false"/>
      <w:suppressAutoHyphens w:val="true"/>
      <w:bidi w:val="0"/>
      <w:spacing w:before="0" w:after="283"/>
      <w:jc w:val="left"/>
      <w:textAlignment w:val="baseline"/>
    </w:pPr>
    <w:rPr>
      <w:rFonts w:ascii="Tahoma" w:hAnsi="Tahoma" w:cs="Tahoma" w:eastAsia="Times New Roman"/>
      <w:color w:val="auto"/>
      <w:kern w:val="2"/>
      <w:sz w:val="64"/>
      <w:szCs w:val="64"/>
      <w:lang w:eastAsia="zh-CN" w:bidi="hi-IN" w:val="ru-RU"/>
    </w:rPr>
  </w:style>
  <w:style w:type="paragraph" w:styleId="16" w:customStyle="1">
    <w:name w:val="Обычный1"/>
    <w:uiPriority w:val="99"/>
    <w:qFormat/>
    <w:rsid w:val="00d87e83"/>
    <w:pPr>
      <w:widowControl/>
      <w:suppressAutoHyphens w:val="true"/>
      <w:bidi w:val="0"/>
      <w:spacing w:lineRule="auto" w:line="276" w:before="0" w:after="200"/>
      <w:jc w:val="left"/>
    </w:pPr>
    <w:rPr>
      <w:rFonts w:cs="Calibri" w:ascii="Calibri" w:hAnsi="Calibri" w:eastAsia="Times New Roman"/>
      <w:color w:val="auto"/>
      <w:kern w:val="0"/>
      <w:sz w:val="22"/>
      <w:szCs w:val="22"/>
      <w:lang w:eastAsia="zh-CN" w:val="ru-RU" w:bidi="ar-SA"/>
    </w:rPr>
  </w:style>
  <w:style w:type="paragraph" w:styleId="Style41" w:customStyle="1">
    <w:name w:val="Style4"/>
    <w:basedOn w:val="Normal"/>
    <w:uiPriority w:val="99"/>
    <w:qFormat/>
    <w:rsid w:val="009418b2"/>
    <w:pPr>
      <w:widowControl w:val="false"/>
      <w:spacing w:lineRule="exact" w:line="324" w:before="0" w:after="0"/>
      <w:ind w:firstLine="698"/>
      <w:jc w:val="both"/>
    </w:pPr>
    <w:rPr>
      <w:rFonts w:ascii="Times New Roman" w:hAnsi="Times New Roman" w:cs="Times New Roman"/>
      <w:sz w:val="24"/>
      <w:szCs w:val="24"/>
    </w:rPr>
  </w:style>
  <w:style w:type="paragraph" w:styleId="17" w:customStyle="1">
    <w:name w:val="Без интервала1"/>
    <w:uiPriority w:val="99"/>
    <w:qFormat/>
    <w:rsid w:val="00de2267"/>
    <w:pPr>
      <w:widowControl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0"/>
      <w:lang w:val="ru-RU" w:eastAsia="ru-RU" w:bidi="ar-SA"/>
    </w:rPr>
  </w:style>
  <w:style w:type="paragraph" w:styleId="18" w:customStyle="1">
    <w:name w:val="Абзац списка1"/>
    <w:basedOn w:val="Normal"/>
    <w:uiPriority w:val="99"/>
    <w:qFormat/>
    <w:rsid w:val="00de2267"/>
    <w:pPr>
      <w:ind w:left="720" w:hanging="0"/>
    </w:pPr>
    <w:rPr/>
  </w:style>
  <w:style w:type="paragraph" w:styleId="Caption">
    <w:name w:val="caption"/>
    <w:basedOn w:val="Normal"/>
    <w:uiPriority w:val="99"/>
    <w:qFormat/>
    <w:locked/>
    <w:rsid w:val="00f313e3"/>
    <w:pPr>
      <w:suppressLineNumbers/>
      <w:suppressAutoHyphens w:val="true"/>
      <w:spacing w:lineRule="auto" w:line="240" w:before="120" w:after="120"/>
    </w:pPr>
    <w:rPr>
      <w:rFonts w:ascii="Times New Roman" w:hAnsi="Times New Roman" w:cs="Mangal"/>
      <w:i/>
      <w:iCs/>
      <w:sz w:val="24"/>
      <w:szCs w:val="24"/>
      <w:lang w:eastAsia="zh-CN"/>
    </w:rPr>
  </w:style>
  <w:style w:type="paragraph" w:styleId="19" w:customStyle="1">
    <w:name w:val="Указатель1"/>
    <w:basedOn w:val="Normal"/>
    <w:uiPriority w:val="99"/>
    <w:qFormat/>
    <w:rsid w:val="00f313e3"/>
    <w:pPr>
      <w:suppressLineNumbers/>
      <w:suppressAutoHyphens w:val="true"/>
      <w:spacing w:lineRule="auto" w:line="240" w:before="0" w:after="0"/>
    </w:pPr>
    <w:rPr>
      <w:rFonts w:ascii="Times New Roman" w:hAnsi="Times New Roman" w:cs="Mangal"/>
      <w:sz w:val="28"/>
      <w:szCs w:val="20"/>
      <w:lang w:eastAsia="zh-CN"/>
    </w:rPr>
  </w:style>
  <w:style w:type="paragraph" w:styleId="WW" w:customStyle="1">
    <w:name w:val="WW-Базовый"/>
    <w:uiPriority w:val="99"/>
    <w:qFormat/>
    <w:rsid w:val="00f313e3"/>
    <w:pPr>
      <w:widowControl/>
      <w:tabs>
        <w:tab w:val="left" w:pos="708" w:leader="none"/>
      </w:tabs>
      <w:suppressAutoHyphens w:val="true"/>
      <w:bidi w:val="0"/>
      <w:spacing w:lineRule="auto" w:line="276" w:before="0" w:after="200"/>
      <w:jc w:val="left"/>
    </w:pPr>
    <w:rPr>
      <w:rFonts w:cs="Calibri" w:ascii="Calibri" w:hAnsi="Calibri" w:eastAsia="Times New Roman"/>
      <w:color w:val="auto"/>
      <w:kern w:val="0"/>
      <w:sz w:val="28"/>
      <w:szCs w:val="24"/>
      <w:lang w:eastAsia="zh-CN" w:val="ru-RU" w:bidi="ar-SA"/>
    </w:rPr>
  </w:style>
  <w:style w:type="paragraph" w:styleId="Style28" w:customStyle="1">
    <w:name w:val="Верхний и нижний колонтитулы"/>
    <w:basedOn w:val="Normal"/>
    <w:uiPriority w:val="99"/>
    <w:qFormat/>
    <w:rsid w:val="00f313e3"/>
    <w:pPr>
      <w:suppressLineNumbers/>
      <w:tabs>
        <w:tab w:val="clear" w:pos="708"/>
        <w:tab w:val="center" w:pos="4819" w:leader="none"/>
        <w:tab w:val="right" w:pos="9638" w:leader="none"/>
      </w:tabs>
      <w:suppressAutoHyphens w:val="true"/>
      <w:spacing w:lineRule="auto" w:line="240" w:before="0" w:after="0"/>
    </w:pPr>
    <w:rPr>
      <w:rFonts w:ascii="Times New Roman" w:hAnsi="Times New Roman" w:cs="Times New Roman"/>
      <w:sz w:val="28"/>
      <w:szCs w:val="20"/>
      <w:lang w:eastAsia="zh-CN"/>
    </w:rPr>
  </w:style>
  <w:style w:type="paragraph" w:styleId="Style29" w:customStyle="1">
    <w:name w:val="Заголовок таблицы"/>
    <w:basedOn w:val="Style27"/>
    <w:uiPriority w:val="99"/>
    <w:qFormat/>
    <w:rsid w:val="00f313e3"/>
    <w:pPr>
      <w:jc w:val="center"/>
    </w:pPr>
    <w:rPr>
      <w:b/>
      <w:bCs/>
    </w:rPr>
  </w:style>
  <w:style w:type="paragraph" w:styleId="Style30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0">
    <w:name w:val="Table Grid"/>
    <w:basedOn w:val="a1"/>
    <w:uiPriority w:val="99"/>
    <w:rsid w:val="00e71d48"/>
    <w:rPr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B36693-A21F-426A-9634-01107F6D4E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Application>LibreOffice/7.4.3.2$Windows_X86_64 LibreOffice_project/1048a8393ae2eeec98dff31b5c133c5f1d08b890</Application>
  <AppVersion>15.0000</AppVersion>
  <Pages>103</Pages>
  <Words>18127</Words>
  <Characters>109623</Characters>
  <CharactersWithSpaces>122864</CharactersWithSpaces>
  <Paragraphs>6197</Paragraphs>
  <Company>HOME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2023-03-24T13:08:00Z</dcterms:created>
  <dc:creator>ФБУ ИЗ-68/4</dc:creator>
  <dc:description/>
  <dc:language>ru-RU</dc:language>
  <cp:lastModifiedBy/>
  <cp:lastPrinted>2023-03-24T08:32:00Z</cp:lastPrinted>
  <dcterms:modified xsi:type="dcterms:W3CDTF">2023-03-30T10:44:48Z</dcterms:modified>
  <cp:revision>6</cp:revision>
  <dc:subject/>
  <dc:title> 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